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327C" w:rsidRDefault="00083DE9">
      <w:pPr>
        <w:spacing w:line="560" w:lineRule="exact"/>
        <w:jc w:val="center"/>
        <w:rPr>
          <w:rFonts w:ascii="方正小标宋简体" w:eastAsia="方正小标宋简体"/>
          <w:sz w:val="44"/>
          <w:szCs w:val="44"/>
          <w:lang w:eastAsia="zh-CN"/>
        </w:rPr>
      </w:pPr>
      <w:r>
        <w:rPr>
          <w:rFonts w:ascii="方正小标宋简体" w:eastAsia="方正小标宋简体" w:hAnsi="Times New Roman" w:hint="eastAsia"/>
          <w:sz w:val="44"/>
          <w:szCs w:val="44"/>
          <w:lang w:eastAsia="zh-CN"/>
        </w:rPr>
        <w:t>南宁市武鸣区中医医院</w:t>
      </w:r>
    </w:p>
    <w:p w:rsidR="00F7327C" w:rsidRDefault="00083DE9">
      <w:pPr>
        <w:spacing w:line="560" w:lineRule="exact"/>
        <w:jc w:val="center"/>
        <w:rPr>
          <w:rFonts w:ascii="方正小标宋简体" w:eastAsia="方正小标宋简体"/>
          <w:sz w:val="44"/>
          <w:szCs w:val="44"/>
          <w:lang w:eastAsia="zh-CN"/>
        </w:rPr>
      </w:pPr>
      <w:r>
        <w:rPr>
          <w:rFonts w:ascii="方正小标宋简体" w:eastAsia="方正小标宋简体" w:hAnsi="Times New Roman" w:hint="eastAsia"/>
          <w:sz w:val="44"/>
          <w:szCs w:val="44"/>
          <w:lang w:eastAsia="zh-CN"/>
        </w:rPr>
        <w:t>LIS</w:t>
      </w:r>
      <w:r>
        <w:rPr>
          <w:rFonts w:ascii="方正小标宋简体" w:eastAsia="方正小标宋简体" w:hAnsi="Times New Roman" w:hint="eastAsia"/>
          <w:sz w:val="44"/>
          <w:szCs w:val="44"/>
          <w:lang w:eastAsia="zh-CN"/>
        </w:rPr>
        <w:t>系统运维服务采购需求</w:t>
      </w:r>
    </w:p>
    <w:p w:rsidR="00F7327C" w:rsidRDefault="00083DE9">
      <w:pPr>
        <w:spacing w:line="560" w:lineRule="exact"/>
        <w:ind w:firstLineChars="200" w:firstLine="640"/>
        <w:rPr>
          <w:rFonts w:ascii="黑体" w:eastAsia="黑体" w:hAnsi="黑体"/>
          <w:sz w:val="32"/>
          <w:szCs w:val="32"/>
          <w:lang w:eastAsia="zh-CN"/>
        </w:rPr>
      </w:pPr>
      <w:r>
        <w:rPr>
          <w:rFonts w:ascii="黑体" w:eastAsia="黑体" w:hAnsi="黑体" w:hint="eastAsia"/>
          <w:sz w:val="32"/>
          <w:szCs w:val="32"/>
          <w:lang w:eastAsia="zh-CN"/>
        </w:rPr>
        <w:t>一、项目概述</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根据医院检验业务工作需要，本次采购旨在为南宁市武鸣区中医医院现有</w:t>
      </w: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实验室信息管理系统，含输血管理模块）提供专业化年度运维技术服务。医院检验科、输血科负责日常业务操作及业务问题初步排查，信息科负责系统技术对接及运行监控。本次采购重点引入外部技术支撑力量，承担系统功能维护、接口运维、应急响应处置及技术兜底服务，形成“内部运营</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外部支撑”的协同机制，保障系统稳定、安全、高效运行，满足检验科、输血科日常业务连续性需求。</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本运维服务针对我院</w:t>
      </w:r>
      <w:r>
        <w:rPr>
          <w:rFonts w:ascii="仿宋_GB2312" w:eastAsia="仿宋_GB2312" w:hAnsi="Times New Roman" w:hint="eastAsia"/>
          <w:sz w:val="32"/>
          <w:szCs w:val="32"/>
          <w:lang w:eastAsia="zh-CN"/>
        </w:rPr>
        <w:t>2024</w:t>
      </w:r>
      <w:r>
        <w:rPr>
          <w:rFonts w:ascii="仿宋_GB2312" w:eastAsia="仿宋_GB2312" w:hAnsi="Times New Roman" w:hint="eastAsia"/>
          <w:sz w:val="32"/>
          <w:szCs w:val="32"/>
          <w:lang w:eastAsia="zh-CN"/>
        </w:rPr>
        <w:t>年采购并投入使用的新</w:t>
      </w: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系统（含基础检验业务管理、检验流程管理、智能化管理、统计查询管理、科室管理及输血管理等模块），运维范围包含原采购合同约定全部功能模块及后期版本升级新增的全部业务模块。</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本次运维服务期限：</w:t>
      </w:r>
      <w:r>
        <w:rPr>
          <w:rFonts w:ascii="仿宋_GB2312" w:eastAsia="仿宋_GB2312" w:hAnsi="Times New Roman" w:hint="eastAsia"/>
          <w:sz w:val="32"/>
          <w:szCs w:val="32"/>
          <w:lang w:eastAsia="zh-CN"/>
        </w:rPr>
        <w:t>12</w:t>
      </w:r>
      <w:r>
        <w:rPr>
          <w:rFonts w:ascii="仿宋_GB2312" w:eastAsia="仿宋_GB2312" w:hAnsi="Times New Roman" w:hint="eastAsia"/>
          <w:sz w:val="32"/>
          <w:szCs w:val="32"/>
          <w:lang w:eastAsia="zh-CN"/>
        </w:rPr>
        <w:t>个月（自合同签订之日起计算）。服务范围涵盖中医医院本部及东鸣路社区卫生服务中心。</w:t>
      </w:r>
    </w:p>
    <w:p w:rsidR="00F7327C" w:rsidRDefault="00083DE9">
      <w:pPr>
        <w:spacing w:line="560" w:lineRule="exact"/>
        <w:ind w:firstLineChars="200" w:firstLine="640"/>
        <w:rPr>
          <w:rFonts w:ascii="黑体" w:eastAsia="黑体" w:hAnsi="黑体"/>
          <w:sz w:val="32"/>
          <w:szCs w:val="32"/>
          <w:lang w:eastAsia="zh-CN"/>
        </w:rPr>
      </w:pPr>
      <w:r>
        <w:rPr>
          <w:rFonts w:ascii="黑体" w:eastAsia="黑体" w:hAnsi="黑体" w:hint="eastAsia"/>
          <w:sz w:val="32"/>
          <w:szCs w:val="32"/>
          <w:lang w:eastAsia="zh-CN"/>
        </w:rPr>
        <w:t>二、服务内容及要求</w:t>
      </w:r>
    </w:p>
    <w:p w:rsidR="00F7327C" w:rsidRDefault="00083DE9">
      <w:pPr>
        <w:spacing w:line="560" w:lineRule="exact"/>
        <w:ind w:firstLineChars="200" w:firstLine="643"/>
        <w:rPr>
          <w:rFonts w:ascii="楷体_GB2312" w:eastAsia="楷体_GB2312"/>
          <w:b/>
          <w:sz w:val="32"/>
          <w:szCs w:val="32"/>
          <w:lang w:eastAsia="zh-CN"/>
        </w:rPr>
      </w:pPr>
      <w:r>
        <w:rPr>
          <w:rFonts w:ascii="楷体_GB2312" w:eastAsia="楷体_GB2312" w:hAnsi="Times New Roman" w:hint="eastAsia"/>
          <w:b/>
          <w:sz w:val="32"/>
          <w:szCs w:val="32"/>
          <w:lang w:eastAsia="zh-CN"/>
        </w:rPr>
        <w:t>（一）维保系统清单</w:t>
      </w:r>
    </w:p>
    <w:p w:rsidR="00F7327C" w:rsidRDefault="00083DE9">
      <w:pPr>
        <w:spacing w:line="560" w:lineRule="exact"/>
        <w:ind w:firstLine="420"/>
        <w:rPr>
          <w:rFonts w:ascii="仿宋_GB2312" w:eastAsia="仿宋_GB2312"/>
          <w:sz w:val="32"/>
          <w:szCs w:val="32"/>
          <w:lang w:eastAsia="zh-CN"/>
        </w:rPr>
      </w:pPr>
      <w:r>
        <w:rPr>
          <w:rFonts w:ascii="仿宋_GB2312" w:eastAsia="仿宋_GB2312" w:hAnsi="Times New Roman" w:hint="eastAsia"/>
          <w:sz w:val="32"/>
          <w:szCs w:val="32"/>
          <w:lang w:eastAsia="zh-CN"/>
        </w:rPr>
        <w:lastRenderedPageBreak/>
        <w:t>▲注：本清单由甲乙双方在合同签订前共同确认签章，作为合同不可分割部分。服务期内新增功能模块，乙方须按不高于本合同单价提供同等运维服务。</w:t>
      </w:r>
    </w:p>
    <w:tbl>
      <w:tblPr>
        <w:tblStyle w:val="ae"/>
        <w:tblW w:w="0" w:type="auto"/>
        <w:jc w:val="center"/>
        <w:tblLook w:val="04A0" w:firstRow="1" w:lastRow="0" w:firstColumn="1" w:lastColumn="0" w:noHBand="0" w:noVBand="1"/>
      </w:tblPr>
      <w:tblGrid>
        <w:gridCol w:w="567"/>
        <w:gridCol w:w="1701"/>
        <w:gridCol w:w="3685"/>
        <w:gridCol w:w="1984"/>
        <w:gridCol w:w="680"/>
      </w:tblGrid>
      <w:tr w:rsidR="00F7327C">
        <w:trPr>
          <w:jc w:val="center"/>
        </w:trPr>
        <w:tc>
          <w:tcPr>
            <w:tcW w:w="567" w:type="dxa"/>
          </w:tcPr>
          <w:p w:rsidR="00F7327C" w:rsidRDefault="00083DE9">
            <w:pPr>
              <w:spacing w:after="0" w:line="560" w:lineRule="exact"/>
              <w:jc w:val="center"/>
              <w:rPr>
                <w:rFonts w:ascii="仿宋_GB2312" w:eastAsia="仿宋_GB2312"/>
                <w:b/>
                <w:sz w:val="32"/>
                <w:szCs w:val="32"/>
              </w:rPr>
            </w:pPr>
            <w:r>
              <w:rPr>
                <w:rFonts w:ascii="仿宋_GB2312" w:eastAsia="仿宋_GB2312" w:hAnsi="Times New Roman" w:hint="eastAsia"/>
                <w:b/>
                <w:sz w:val="32"/>
                <w:szCs w:val="32"/>
              </w:rPr>
              <w:t>序号</w:t>
            </w:r>
          </w:p>
        </w:tc>
        <w:tc>
          <w:tcPr>
            <w:tcW w:w="1701" w:type="dxa"/>
          </w:tcPr>
          <w:p w:rsidR="00F7327C" w:rsidRDefault="00083DE9">
            <w:pPr>
              <w:spacing w:after="0" w:line="560" w:lineRule="exact"/>
              <w:jc w:val="center"/>
              <w:rPr>
                <w:rFonts w:ascii="仿宋_GB2312" w:eastAsia="仿宋_GB2312"/>
                <w:b/>
                <w:sz w:val="32"/>
                <w:szCs w:val="32"/>
              </w:rPr>
            </w:pPr>
            <w:r>
              <w:rPr>
                <w:rFonts w:ascii="仿宋_GB2312" w:eastAsia="仿宋_GB2312" w:hAnsi="Times New Roman" w:hint="eastAsia"/>
                <w:b/>
                <w:sz w:val="32"/>
                <w:szCs w:val="32"/>
              </w:rPr>
              <w:t>系统类</w:t>
            </w:r>
            <w:r>
              <w:rPr>
                <w:rFonts w:ascii="仿宋_GB2312" w:eastAsia="仿宋_GB2312" w:hAnsi="Times New Roman" w:hint="eastAsia"/>
                <w:b/>
                <w:sz w:val="32"/>
                <w:szCs w:val="32"/>
              </w:rPr>
              <w:t>别</w:t>
            </w:r>
          </w:p>
        </w:tc>
        <w:tc>
          <w:tcPr>
            <w:tcW w:w="3685" w:type="dxa"/>
          </w:tcPr>
          <w:p w:rsidR="00F7327C" w:rsidRDefault="00083DE9">
            <w:pPr>
              <w:spacing w:after="0" w:line="560" w:lineRule="exact"/>
              <w:jc w:val="center"/>
              <w:rPr>
                <w:rFonts w:ascii="仿宋_GB2312" w:eastAsia="仿宋_GB2312"/>
                <w:b/>
                <w:sz w:val="32"/>
                <w:szCs w:val="32"/>
              </w:rPr>
            </w:pPr>
            <w:r>
              <w:rPr>
                <w:rFonts w:ascii="仿宋_GB2312" w:eastAsia="仿宋_GB2312" w:hAnsi="Times New Roman" w:hint="eastAsia"/>
                <w:b/>
                <w:sz w:val="32"/>
                <w:szCs w:val="32"/>
              </w:rPr>
              <w:t>功能模块</w:t>
            </w:r>
          </w:p>
        </w:tc>
        <w:tc>
          <w:tcPr>
            <w:tcW w:w="1984" w:type="dxa"/>
          </w:tcPr>
          <w:p w:rsidR="00F7327C" w:rsidRDefault="00083DE9">
            <w:pPr>
              <w:spacing w:after="0" w:line="560" w:lineRule="exact"/>
              <w:jc w:val="center"/>
              <w:rPr>
                <w:rFonts w:ascii="仿宋_GB2312" w:eastAsia="仿宋_GB2312"/>
                <w:b/>
                <w:sz w:val="32"/>
                <w:szCs w:val="32"/>
              </w:rPr>
            </w:pPr>
            <w:r>
              <w:rPr>
                <w:rFonts w:ascii="仿宋_GB2312" w:eastAsia="仿宋_GB2312" w:hAnsi="Times New Roman" w:hint="eastAsia"/>
                <w:b/>
                <w:sz w:val="32"/>
                <w:szCs w:val="32"/>
              </w:rPr>
              <w:t>部署范围</w:t>
            </w:r>
          </w:p>
        </w:tc>
        <w:tc>
          <w:tcPr>
            <w:tcW w:w="680" w:type="dxa"/>
          </w:tcPr>
          <w:p w:rsidR="00F7327C" w:rsidRDefault="00083DE9">
            <w:pPr>
              <w:spacing w:after="0" w:line="560" w:lineRule="exact"/>
              <w:jc w:val="center"/>
              <w:rPr>
                <w:rFonts w:ascii="仿宋_GB2312" w:eastAsia="仿宋_GB2312"/>
                <w:b/>
                <w:sz w:val="32"/>
                <w:szCs w:val="32"/>
              </w:rPr>
            </w:pPr>
            <w:r>
              <w:rPr>
                <w:rFonts w:ascii="仿宋_GB2312" w:eastAsia="仿宋_GB2312" w:hAnsi="Times New Roman" w:hint="eastAsia"/>
                <w:b/>
                <w:sz w:val="32"/>
                <w:szCs w:val="32"/>
              </w:rPr>
              <w:t>数量</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p>
        </w:tc>
        <w:tc>
          <w:tcPr>
            <w:tcW w:w="170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基础检验业务管理</w:t>
            </w:r>
          </w:p>
        </w:tc>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检验申请管理、条码管理、费用管理、住院</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门诊标本采集、检验护士站管理、常规检验管理、微生物系统管理、仪器通讯接口、图像数据采集、流水线集成、图文报告、质控管理、检验报告管理、自助报告管理、检验知识库管理</w:t>
            </w:r>
          </w:p>
        </w:tc>
        <w:tc>
          <w:tcPr>
            <w:tcW w:w="1984"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中医医院本部、东鸣路社区卫生服务中心</w:t>
            </w:r>
          </w:p>
        </w:tc>
        <w:tc>
          <w:tcPr>
            <w:tcW w:w="68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2</w:t>
            </w:r>
          </w:p>
        </w:tc>
        <w:tc>
          <w:tcPr>
            <w:tcW w:w="170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检验流程管理</w:t>
            </w:r>
          </w:p>
        </w:tc>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实验室外部标本流转、标本核收、不合格标本管理、外送标本管理、参考值管理、危急值闭环管理、</w:t>
            </w:r>
            <w:r>
              <w:rPr>
                <w:rFonts w:ascii="仿宋_GB2312" w:eastAsia="仿宋_GB2312" w:hAnsi="Times New Roman" w:hint="eastAsia"/>
                <w:sz w:val="32"/>
                <w:szCs w:val="32"/>
                <w:lang w:eastAsia="zh-CN"/>
              </w:rPr>
              <w:t>TAT</w:t>
            </w:r>
            <w:r>
              <w:rPr>
                <w:rFonts w:ascii="仿宋_GB2312" w:eastAsia="仿宋_GB2312" w:hAnsi="Times New Roman" w:hint="eastAsia"/>
                <w:sz w:val="32"/>
                <w:szCs w:val="32"/>
                <w:lang w:eastAsia="zh-CN"/>
              </w:rPr>
              <w:t>专业管理、复查标本管理、调回报告管理、实验室监控管理、绿色通道管理</w:t>
            </w:r>
          </w:p>
        </w:tc>
        <w:tc>
          <w:tcPr>
            <w:tcW w:w="1984"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中医医院本部、东鸣路社区卫生服务中心</w:t>
            </w:r>
          </w:p>
        </w:tc>
        <w:tc>
          <w:tcPr>
            <w:tcW w:w="68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3</w:t>
            </w:r>
          </w:p>
        </w:tc>
        <w:tc>
          <w:tcPr>
            <w:tcW w:w="170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智能化管理</w:t>
            </w:r>
          </w:p>
        </w:tc>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ISO15189</w:t>
            </w:r>
            <w:r>
              <w:rPr>
                <w:rFonts w:ascii="仿宋_GB2312" w:eastAsia="仿宋_GB2312" w:hAnsi="Times New Roman" w:hint="eastAsia"/>
                <w:sz w:val="32"/>
                <w:szCs w:val="32"/>
                <w:lang w:eastAsia="zh-CN"/>
              </w:rPr>
              <w:t>报表管理、智能审核</w:t>
            </w:r>
          </w:p>
        </w:tc>
        <w:tc>
          <w:tcPr>
            <w:tcW w:w="1984"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中医医院本部、东鸣路社区卫生服务中心</w:t>
            </w:r>
          </w:p>
        </w:tc>
        <w:tc>
          <w:tcPr>
            <w:tcW w:w="68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4</w:t>
            </w:r>
          </w:p>
        </w:tc>
        <w:tc>
          <w:tcPr>
            <w:tcW w:w="170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统计查询管理</w:t>
            </w:r>
          </w:p>
        </w:tc>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工作量统计、检验业务统计分析、查询管理</w:t>
            </w:r>
          </w:p>
        </w:tc>
        <w:tc>
          <w:tcPr>
            <w:tcW w:w="1984"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中医医院本部、东鸣路社区卫生服务中心</w:t>
            </w:r>
          </w:p>
        </w:tc>
        <w:tc>
          <w:tcPr>
            <w:tcW w:w="68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5</w:t>
            </w:r>
          </w:p>
        </w:tc>
        <w:tc>
          <w:tcPr>
            <w:tcW w:w="170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科室管理</w:t>
            </w:r>
          </w:p>
        </w:tc>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检验科室管理相关功能模块</w:t>
            </w:r>
          </w:p>
        </w:tc>
        <w:tc>
          <w:tcPr>
            <w:tcW w:w="1984"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中医医院本部、东鸣路社区卫生服务中心</w:t>
            </w:r>
          </w:p>
        </w:tc>
        <w:tc>
          <w:tcPr>
            <w:tcW w:w="68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6</w:t>
            </w:r>
          </w:p>
        </w:tc>
        <w:tc>
          <w:tcPr>
            <w:tcW w:w="1701"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输血管理（临床护士工作站）</w:t>
            </w:r>
          </w:p>
        </w:tc>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输血标本采集、血液输注管理、用血反馈登记、血袋交接</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回收</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销毁、输注监测、输血不良反应管理等</w:t>
            </w:r>
          </w:p>
        </w:tc>
        <w:tc>
          <w:tcPr>
            <w:tcW w:w="1984"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中医医院本部、东鸣路社区卫生服务中心</w:t>
            </w:r>
          </w:p>
        </w:tc>
        <w:tc>
          <w:tcPr>
            <w:tcW w:w="68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7</w:t>
            </w:r>
          </w:p>
        </w:tc>
        <w:tc>
          <w:tcPr>
            <w:tcW w:w="1701"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输血管理（输血科室工作站）</w:t>
            </w:r>
          </w:p>
        </w:tc>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前处理、输血检验、血液出入库、配血、库位管理、审核、发血、费用管理、单病种质量管理等</w:t>
            </w:r>
          </w:p>
        </w:tc>
        <w:tc>
          <w:tcPr>
            <w:tcW w:w="1984"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中医医院本部、东鸣路社区卫生服务中心</w:t>
            </w:r>
          </w:p>
        </w:tc>
        <w:tc>
          <w:tcPr>
            <w:tcW w:w="68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8</w:t>
            </w:r>
          </w:p>
        </w:tc>
        <w:tc>
          <w:tcPr>
            <w:tcW w:w="170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数据接口服务</w:t>
            </w:r>
          </w:p>
        </w:tc>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与院内</w:t>
            </w:r>
            <w:r>
              <w:rPr>
                <w:rFonts w:ascii="仿宋_GB2312" w:eastAsia="仿宋_GB2312" w:hAnsi="Times New Roman" w:hint="eastAsia"/>
                <w:sz w:val="32"/>
                <w:szCs w:val="32"/>
                <w:lang w:eastAsia="zh-CN"/>
              </w:rPr>
              <w:t>HIS</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EMR</w:t>
            </w:r>
            <w:r>
              <w:rPr>
                <w:rFonts w:ascii="仿宋_GB2312" w:eastAsia="仿宋_GB2312" w:hAnsi="Times New Roman" w:hint="eastAsia"/>
                <w:sz w:val="32"/>
                <w:szCs w:val="32"/>
                <w:lang w:eastAsia="zh-CN"/>
              </w:rPr>
              <w:t>、体检系统、自助服务系统等</w:t>
            </w:r>
            <w:r>
              <w:rPr>
                <w:rFonts w:ascii="仿宋_GB2312" w:eastAsia="仿宋_GB2312" w:hAnsi="Times New Roman" w:hint="eastAsia"/>
                <w:sz w:val="32"/>
                <w:szCs w:val="32"/>
                <w:lang w:eastAsia="zh-CN"/>
              </w:rPr>
              <w:lastRenderedPageBreak/>
              <w:t>在用业务系统的数据接口；与上级监管或业务平台（含区域检验平台、全民健康信息平台等医院已接入平台）的数据接口</w:t>
            </w:r>
          </w:p>
        </w:tc>
        <w:tc>
          <w:tcPr>
            <w:tcW w:w="1984"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lastRenderedPageBreak/>
              <w:t>中医医院本部、东鸣路</w:t>
            </w:r>
            <w:r>
              <w:rPr>
                <w:rFonts w:ascii="仿宋_GB2312" w:eastAsia="仿宋_GB2312" w:hAnsi="Times New Roman" w:hint="eastAsia"/>
                <w:sz w:val="32"/>
                <w:szCs w:val="32"/>
                <w:lang w:eastAsia="zh-CN"/>
              </w:rPr>
              <w:lastRenderedPageBreak/>
              <w:t>社区卫生服务中心</w:t>
            </w:r>
          </w:p>
        </w:tc>
        <w:tc>
          <w:tcPr>
            <w:tcW w:w="68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1</w:t>
            </w:r>
            <w:r>
              <w:rPr>
                <w:rFonts w:ascii="仿宋_GB2312" w:eastAsia="仿宋_GB2312" w:hAnsi="Times New Roman" w:hint="eastAsia"/>
                <w:sz w:val="32"/>
                <w:szCs w:val="32"/>
              </w:rPr>
              <w:t>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9</w:t>
            </w:r>
          </w:p>
        </w:tc>
        <w:tc>
          <w:tcPr>
            <w:tcW w:w="170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检验设备接口服务</w:t>
            </w:r>
          </w:p>
        </w:tc>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系统与全院在用检验仪器设备（含流水线）的通讯接口及图像数据采集</w:t>
            </w:r>
          </w:p>
        </w:tc>
        <w:tc>
          <w:tcPr>
            <w:tcW w:w="1984"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中医医院本部、东鸣路社区卫生服务中心</w:t>
            </w:r>
          </w:p>
        </w:tc>
        <w:tc>
          <w:tcPr>
            <w:tcW w:w="68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批</w:t>
            </w:r>
          </w:p>
        </w:tc>
      </w:tr>
    </w:tbl>
    <w:p w:rsidR="00F7327C" w:rsidRDefault="00083DE9">
      <w:pPr>
        <w:spacing w:line="560" w:lineRule="exact"/>
        <w:ind w:firstLineChars="200" w:firstLine="643"/>
        <w:rPr>
          <w:rFonts w:ascii="楷体_GB2312" w:eastAsia="楷体_GB2312"/>
          <w:b/>
          <w:sz w:val="32"/>
          <w:szCs w:val="32"/>
        </w:rPr>
      </w:pPr>
      <w:r>
        <w:rPr>
          <w:rFonts w:ascii="楷体_GB2312" w:eastAsia="楷体_GB2312" w:hAnsi="Times New Roman" w:hint="eastAsia"/>
          <w:b/>
          <w:sz w:val="32"/>
          <w:szCs w:val="32"/>
        </w:rPr>
        <w:t>（二）配套硬件清单</w:t>
      </w:r>
    </w:p>
    <w:p w:rsidR="00F7327C" w:rsidRDefault="00083DE9">
      <w:pPr>
        <w:spacing w:line="560" w:lineRule="exact"/>
        <w:ind w:firstLine="420"/>
        <w:rPr>
          <w:rFonts w:ascii="仿宋_GB2312" w:eastAsia="仿宋_GB2312"/>
          <w:sz w:val="32"/>
          <w:szCs w:val="32"/>
          <w:lang w:eastAsia="zh-CN"/>
        </w:rPr>
      </w:pPr>
      <w:r>
        <w:rPr>
          <w:rFonts w:ascii="仿宋_GB2312" w:eastAsia="仿宋_GB2312" w:hAnsi="Times New Roman" w:hint="eastAsia"/>
          <w:sz w:val="32"/>
          <w:szCs w:val="32"/>
          <w:lang w:eastAsia="zh-CN"/>
        </w:rPr>
        <w:t>▲注：以下硬件为原采购项目配套服务器，部署于中医医院本部机房，运行</w:t>
      </w: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系统相关应用。本次运维包含硬件运行状态监控、操作系统维护、配置备份、故障协助排查；硬件整体维修更换费用由甲方另行承担。</w:t>
      </w:r>
    </w:p>
    <w:tbl>
      <w:tblPr>
        <w:tblStyle w:val="ae"/>
        <w:tblW w:w="0" w:type="auto"/>
        <w:jc w:val="center"/>
        <w:tblLook w:val="04A0" w:firstRow="1" w:lastRow="0" w:firstColumn="1" w:lastColumn="0" w:noHBand="0" w:noVBand="1"/>
      </w:tblPr>
      <w:tblGrid>
        <w:gridCol w:w="567"/>
        <w:gridCol w:w="1701"/>
        <w:gridCol w:w="4819"/>
        <w:gridCol w:w="1531"/>
      </w:tblGrid>
      <w:tr w:rsidR="00F7327C">
        <w:trPr>
          <w:jc w:val="center"/>
        </w:trPr>
        <w:tc>
          <w:tcPr>
            <w:tcW w:w="567" w:type="dxa"/>
          </w:tcPr>
          <w:p w:rsidR="00F7327C" w:rsidRDefault="00083DE9">
            <w:pPr>
              <w:spacing w:after="0" w:line="560" w:lineRule="exact"/>
              <w:jc w:val="center"/>
              <w:rPr>
                <w:rFonts w:ascii="仿宋_GB2312" w:eastAsia="仿宋_GB2312"/>
                <w:b/>
                <w:sz w:val="32"/>
                <w:szCs w:val="32"/>
              </w:rPr>
            </w:pPr>
            <w:r>
              <w:rPr>
                <w:rFonts w:ascii="仿宋_GB2312" w:eastAsia="仿宋_GB2312" w:hAnsi="Times New Roman" w:hint="eastAsia"/>
                <w:b/>
                <w:sz w:val="32"/>
                <w:szCs w:val="32"/>
              </w:rPr>
              <w:t>序号</w:t>
            </w:r>
          </w:p>
        </w:tc>
        <w:tc>
          <w:tcPr>
            <w:tcW w:w="1701" w:type="dxa"/>
          </w:tcPr>
          <w:p w:rsidR="00F7327C" w:rsidRDefault="00083DE9">
            <w:pPr>
              <w:spacing w:after="0" w:line="560" w:lineRule="exact"/>
              <w:jc w:val="center"/>
              <w:rPr>
                <w:rFonts w:ascii="仿宋_GB2312" w:eastAsia="仿宋_GB2312"/>
                <w:b/>
                <w:sz w:val="32"/>
                <w:szCs w:val="32"/>
              </w:rPr>
            </w:pPr>
            <w:r>
              <w:rPr>
                <w:rFonts w:ascii="仿宋_GB2312" w:eastAsia="仿宋_GB2312" w:hAnsi="Times New Roman" w:hint="eastAsia"/>
                <w:b/>
                <w:sz w:val="32"/>
                <w:szCs w:val="32"/>
              </w:rPr>
              <w:t>设备名称</w:t>
            </w:r>
          </w:p>
        </w:tc>
        <w:tc>
          <w:tcPr>
            <w:tcW w:w="4819" w:type="dxa"/>
          </w:tcPr>
          <w:p w:rsidR="00F7327C" w:rsidRDefault="00083DE9">
            <w:pPr>
              <w:spacing w:after="0" w:line="560" w:lineRule="exact"/>
              <w:jc w:val="center"/>
              <w:rPr>
                <w:rFonts w:ascii="仿宋_GB2312" w:eastAsia="仿宋_GB2312"/>
                <w:b/>
                <w:sz w:val="32"/>
                <w:szCs w:val="32"/>
              </w:rPr>
            </w:pPr>
            <w:r>
              <w:rPr>
                <w:rFonts w:ascii="仿宋_GB2312" w:eastAsia="仿宋_GB2312" w:hAnsi="Times New Roman" w:hint="eastAsia"/>
                <w:b/>
                <w:sz w:val="32"/>
                <w:szCs w:val="32"/>
              </w:rPr>
              <w:t>配置说明</w:t>
            </w:r>
          </w:p>
        </w:tc>
        <w:tc>
          <w:tcPr>
            <w:tcW w:w="1531" w:type="dxa"/>
          </w:tcPr>
          <w:p w:rsidR="00F7327C" w:rsidRDefault="00083DE9">
            <w:pPr>
              <w:spacing w:after="0" w:line="560" w:lineRule="exact"/>
              <w:jc w:val="center"/>
              <w:rPr>
                <w:rFonts w:ascii="仿宋_GB2312" w:eastAsia="仿宋_GB2312"/>
                <w:b/>
                <w:sz w:val="32"/>
                <w:szCs w:val="32"/>
              </w:rPr>
            </w:pPr>
            <w:r>
              <w:rPr>
                <w:rFonts w:ascii="仿宋_GB2312" w:eastAsia="仿宋_GB2312" w:hAnsi="Times New Roman" w:hint="eastAsia"/>
                <w:b/>
                <w:sz w:val="32"/>
                <w:szCs w:val="32"/>
              </w:rPr>
              <w:t>数量</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p>
        </w:tc>
        <w:tc>
          <w:tcPr>
            <w:tcW w:w="170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应用服务器</w:t>
            </w:r>
          </w:p>
        </w:tc>
        <w:tc>
          <w:tcPr>
            <w:tcW w:w="481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原采购项目配套国产化服务器，部署于中医医院本部机房，运行</w:t>
            </w: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系统应用及数据库</w:t>
            </w:r>
          </w:p>
        </w:tc>
        <w:tc>
          <w:tcPr>
            <w:tcW w:w="153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按原采购合同配置</w:t>
            </w:r>
          </w:p>
        </w:tc>
      </w:tr>
    </w:tbl>
    <w:p w:rsidR="00F7327C" w:rsidRDefault="00083DE9">
      <w:pPr>
        <w:spacing w:line="560" w:lineRule="exact"/>
        <w:ind w:firstLineChars="200" w:firstLine="643"/>
        <w:rPr>
          <w:rFonts w:ascii="楷体_GB2312" w:eastAsia="楷体_GB2312"/>
          <w:b/>
          <w:sz w:val="32"/>
          <w:szCs w:val="32"/>
          <w:lang w:eastAsia="zh-CN"/>
        </w:rPr>
      </w:pPr>
      <w:r>
        <w:rPr>
          <w:rFonts w:ascii="楷体_GB2312" w:eastAsia="楷体_GB2312" w:hAnsi="Times New Roman" w:hint="eastAsia"/>
          <w:b/>
          <w:sz w:val="32"/>
          <w:szCs w:val="32"/>
          <w:lang w:eastAsia="zh-CN"/>
        </w:rPr>
        <w:t>（三）具体运维服务内容</w:t>
      </w:r>
    </w:p>
    <w:tbl>
      <w:tblPr>
        <w:tblStyle w:val="ae"/>
        <w:tblW w:w="0" w:type="auto"/>
        <w:jc w:val="center"/>
        <w:tblLook w:val="04A0" w:firstRow="1" w:lastRow="0" w:firstColumn="1" w:lastColumn="0" w:noHBand="0" w:noVBand="1"/>
      </w:tblPr>
      <w:tblGrid>
        <w:gridCol w:w="567"/>
        <w:gridCol w:w="1587"/>
        <w:gridCol w:w="5329"/>
        <w:gridCol w:w="850"/>
      </w:tblGrid>
      <w:tr w:rsidR="00F7327C">
        <w:trPr>
          <w:jc w:val="center"/>
        </w:trPr>
        <w:tc>
          <w:tcPr>
            <w:tcW w:w="567"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序号</w:t>
            </w:r>
          </w:p>
        </w:tc>
        <w:tc>
          <w:tcPr>
            <w:tcW w:w="1587"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服务模块</w:t>
            </w:r>
          </w:p>
        </w:tc>
        <w:tc>
          <w:tcPr>
            <w:tcW w:w="5329"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服务子项</w:t>
            </w:r>
          </w:p>
        </w:tc>
        <w:tc>
          <w:tcPr>
            <w:tcW w:w="850"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数量</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1</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系统功能保障</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保障维保系统清单内全部功能模块稳定可用，包括检验申请与条码全流程管理、标本采集与流转闭环、常规及微生物检验管理、仪器双向通讯、质控管理（室内质控汇总统计、月度</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年度</w:t>
            </w:r>
            <w:r>
              <w:rPr>
                <w:rFonts w:ascii="仿宋_GB2312" w:eastAsia="仿宋_GB2312" w:hAnsi="Times New Roman" w:hint="eastAsia"/>
                <w:sz w:val="32"/>
                <w:szCs w:val="32"/>
                <w:lang w:eastAsia="zh-CN"/>
              </w:rPr>
              <w:t>CV</w:t>
            </w:r>
            <w:r>
              <w:rPr>
                <w:rFonts w:ascii="仿宋_GB2312" w:eastAsia="仿宋_GB2312" w:hAnsi="Times New Roman" w:hint="eastAsia"/>
                <w:sz w:val="32"/>
                <w:szCs w:val="32"/>
                <w:lang w:eastAsia="zh-CN"/>
              </w:rPr>
              <w:t>及</w:t>
            </w:r>
            <w:r>
              <w:rPr>
                <w:rFonts w:ascii="仿宋_GB2312" w:eastAsia="仿宋_GB2312" w:hAnsi="Times New Roman" w:hint="eastAsia"/>
                <w:sz w:val="32"/>
                <w:szCs w:val="32"/>
                <w:lang w:eastAsia="zh-CN"/>
              </w:rPr>
              <w:t>SD</w:t>
            </w:r>
            <w:r>
              <w:rPr>
                <w:rFonts w:ascii="仿宋_GB2312" w:eastAsia="仿宋_GB2312" w:hAnsi="Times New Roman" w:hint="eastAsia"/>
                <w:sz w:val="32"/>
                <w:szCs w:val="32"/>
                <w:lang w:eastAsia="zh-CN"/>
              </w:rPr>
              <w:t>统计等）、危急值闭环管理、</w:t>
            </w:r>
            <w:r>
              <w:rPr>
                <w:rFonts w:ascii="仿宋_GB2312" w:eastAsia="仿宋_GB2312" w:hAnsi="Times New Roman" w:hint="eastAsia"/>
                <w:sz w:val="32"/>
                <w:szCs w:val="32"/>
                <w:lang w:eastAsia="zh-CN"/>
              </w:rPr>
              <w:t>TAT</w:t>
            </w:r>
            <w:r>
              <w:rPr>
                <w:rFonts w:ascii="仿宋_GB2312" w:eastAsia="仿宋_GB2312" w:hAnsi="Times New Roman" w:hint="eastAsia"/>
                <w:sz w:val="32"/>
                <w:szCs w:val="32"/>
                <w:lang w:eastAsia="zh-CN"/>
              </w:rPr>
              <w:t>统计、报告审核发布与自助打印、</w:t>
            </w:r>
            <w:r>
              <w:rPr>
                <w:rFonts w:ascii="仿宋_GB2312" w:eastAsia="仿宋_GB2312" w:hAnsi="Times New Roman" w:hint="eastAsia"/>
                <w:sz w:val="32"/>
                <w:szCs w:val="32"/>
                <w:lang w:eastAsia="zh-CN"/>
              </w:rPr>
              <w:t>ISO15189</w:t>
            </w:r>
            <w:r>
              <w:rPr>
                <w:rFonts w:ascii="仿宋_GB2312" w:eastAsia="仿宋_GB2312" w:hAnsi="Times New Roman" w:hint="eastAsia"/>
                <w:sz w:val="32"/>
                <w:szCs w:val="32"/>
                <w:lang w:eastAsia="zh-CN"/>
              </w:rPr>
              <w:t>相关报表、智能审核规则、输血全流程无纸化管理、工作量及统计分析等（★）</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2</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系统接口维护</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保障院内信息系统接口稳定运行：维护</w:t>
            </w: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系统与</w:t>
            </w:r>
            <w:r>
              <w:rPr>
                <w:rFonts w:ascii="仿宋_GB2312" w:eastAsia="仿宋_GB2312" w:hAnsi="Times New Roman" w:hint="eastAsia"/>
                <w:sz w:val="32"/>
                <w:szCs w:val="32"/>
                <w:lang w:eastAsia="zh-CN"/>
              </w:rPr>
              <w:t>HIS</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EMR</w:t>
            </w:r>
            <w:r>
              <w:rPr>
                <w:rFonts w:ascii="仿宋_GB2312" w:eastAsia="仿宋_GB2312" w:hAnsi="Times New Roman" w:hint="eastAsia"/>
                <w:sz w:val="32"/>
                <w:szCs w:val="32"/>
                <w:lang w:eastAsia="zh-CN"/>
              </w:rPr>
              <w:t>、体检系统、自助服务系统等所有在用相关业务系统的数据接口，确保检验申请、标本状态、检验报告、费用信息、</w:t>
            </w:r>
            <w:r>
              <w:rPr>
                <w:rFonts w:ascii="仿宋_GB2312" w:eastAsia="仿宋_GB2312" w:hAnsi="Times New Roman" w:hint="eastAsia"/>
                <w:sz w:val="32"/>
                <w:szCs w:val="32"/>
                <w:lang w:eastAsia="zh-CN"/>
              </w:rPr>
              <w:t>危急值信息等关键数据实时、准确、双向交互（★）</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3</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系统接口维护</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保障上级平台接口稳定运行：维护与上级监管或业务平台（含区域检验平台、全民健康信息平台等医院已接入平台）的数据接口，确保检验数据按标准格式准确上报（★）</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4</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系统接口</w:t>
            </w:r>
            <w:r>
              <w:rPr>
                <w:rFonts w:ascii="仿宋_GB2312" w:eastAsia="仿宋_GB2312" w:hAnsi="Times New Roman" w:hint="eastAsia"/>
                <w:sz w:val="32"/>
                <w:szCs w:val="32"/>
              </w:rPr>
              <w:lastRenderedPageBreak/>
              <w:t>维护</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lastRenderedPageBreak/>
              <w:t>保障检验设备接口稳定运行：维护</w:t>
            </w:r>
            <w:r>
              <w:rPr>
                <w:rFonts w:ascii="仿宋_GB2312" w:eastAsia="仿宋_GB2312" w:hAnsi="Times New Roman" w:hint="eastAsia"/>
                <w:sz w:val="32"/>
                <w:szCs w:val="32"/>
                <w:lang w:eastAsia="zh-CN"/>
              </w:rPr>
              <w:lastRenderedPageBreak/>
              <w:t>LIS</w:t>
            </w:r>
            <w:r>
              <w:rPr>
                <w:rFonts w:ascii="仿宋_GB2312" w:eastAsia="仿宋_GB2312" w:hAnsi="Times New Roman" w:hint="eastAsia"/>
                <w:sz w:val="32"/>
                <w:szCs w:val="32"/>
                <w:lang w:eastAsia="zh-CN"/>
              </w:rPr>
              <w:t>系统与全院在用检验仪器设备的通讯接口；服务期内医院新增检验设备需接入</w:t>
            </w: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系统的，乙方须提供设备通讯接口对接服务，费用按本需求“十一、其他要求”约定的上限标准另行结算（★）</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5</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功能优化与升级</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Bug</w:t>
            </w:r>
            <w:r>
              <w:rPr>
                <w:rFonts w:ascii="仿宋_GB2312" w:eastAsia="仿宋_GB2312" w:hAnsi="Times New Roman" w:hint="eastAsia"/>
                <w:sz w:val="32"/>
                <w:szCs w:val="32"/>
                <w:lang w:eastAsia="zh-CN"/>
              </w:rPr>
              <w:t>修复服务：对系统使用过程中出现的任何功能性缺陷（</w:t>
            </w:r>
            <w:r>
              <w:rPr>
                <w:rFonts w:ascii="仿宋_GB2312" w:eastAsia="仿宋_GB2312" w:hAnsi="Times New Roman" w:hint="eastAsia"/>
                <w:sz w:val="32"/>
                <w:szCs w:val="32"/>
                <w:lang w:eastAsia="zh-CN"/>
              </w:rPr>
              <w:t>Bug</w:t>
            </w:r>
            <w:r>
              <w:rPr>
                <w:rFonts w:ascii="仿宋_GB2312" w:eastAsia="仿宋_GB2312" w:hAnsi="Times New Roman" w:hint="eastAsia"/>
                <w:sz w:val="32"/>
                <w:szCs w:val="32"/>
                <w:lang w:eastAsia="zh-CN"/>
              </w:rPr>
              <w:t>）提供及时的诊断、修复和回归测试服务（★）</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6</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功能优化与升级</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合理需求修改服务：年度服务期内合理的需求修改均含在年度报价内，不额外收费，包括报告单格式调整、参考值范围维护、质控规则调整、统计报表样式调整、字典维护等（★）</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7</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功能优化与升级</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同版本免费升级服务：同一版本内有升级（含补丁、热修复及小版本升级）时，免费同步提供升级服务（★）</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8</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功能优化与升级</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行业标准适配：运维期内国家、行业发布检验相关标准、编码库（如检验项目编码、微生物及药敏相关标准）更新的，纳入免费升级范</w:t>
            </w:r>
            <w:r>
              <w:rPr>
                <w:rFonts w:ascii="仿宋_GB2312" w:eastAsia="仿宋_GB2312" w:hAnsi="Times New Roman" w:hint="eastAsia"/>
                <w:sz w:val="32"/>
                <w:szCs w:val="32"/>
                <w:lang w:eastAsia="zh-CN"/>
              </w:rPr>
              <w:lastRenderedPageBreak/>
              <w:t>畴，不额外收取费用（★）</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9</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数据安全与备份</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保障数据库备份策略维护、定期备份执行、备份完整性校验、界面化备份管理、操作日志、修改痕迹记录等功能稳定可用（★）</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10</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数据安全与备份</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备份恢复演练：每年至少开展一次备份恢复演练，确保备份有效性及可恢复性（☆）</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11</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应急响应</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7</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24</w:t>
            </w:r>
            <w:r>
              <w:rPr>
                <w:rFonts w:ascii="仿宋_GB2312" w:eastAsia="仿宋_GB2312" w:hAnsi="Times New Roman" w:hint="eastAsia"/>
                <w:sz w:val="32"/>
                <w:szCs w:val="32"/>
                <w:lang w:eastAsia="zh-CN"/>
              </w:rPr>
              <w:t>小时应急热线；按服务水平协议分级响应，远程及到场处置（★）</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12</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应急响应</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应急响应报告（每次事件后</w:t>
            </w:r>
            <w:r>
              <w:rPr>
                <w:rFonts w:ascii="仿宋_GB2312" w:eastAsia="仿宋_GB2312" w:hAnsi="Times New Roman" w:hint="eastAsia"/>
                <w:sz w:val="32"/>
                <w:szCs w:val="32"/>
                <w:lang w:eastAsia="zh-CN"/>
              </w:rPr>
              <w:t>3</w:t>
            </w:r>
            <w:r>
              <w:rPr>
                <w:rFonts w:ascii="仿宋_GB2312" w:eastAsia="仿宋_GB2312" w:hAnsi="Times New Roman" w:hint="eastAsia"/>
                <w:sz w:val="32"/>
                <w:szCs w:val="32"/>
                <w:lang w:eastAsia="zh-CN"/>
              </w:rPr>
              <w:t>个工作日内提交）</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按需</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13</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首次基线交付</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进场</w:t>
            </w:r>
            <w:r>
              <w:rPr>
                <w:rFonts w:ascii="仿宋_GB2312" w:eastAsia="仿宋_GB2312" w:hAnsi="Times New Roman" w:hint="eastAsia"/>
                <w:sz w:val="32"/>
                <w:szCs w:val="32"/>
                <w:lang w:eastAsia="zh-CN"/>
              </w:rPr>
              <w:t>1</w:t>
            </w:r>
            <w:r>
              <w:rPr>
                <w:rFonts w:ascii="仿宋_GB2312" w:eastAsia="仿宋_GB2312" w:hAnsi="Times New Roman" w:hint="eastAsia"/>
                <w:sz w:val="32"/>
                <w:szCs w:val="32"/>
                <w:lang w:eastAsia="zh-CN"/>
              </w:rPr>
              <w:t>个月内完成系统现状摸底、资产梳理及基线报告提交，制定全年运维计划</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14</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系统巡检</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每季度至少</w:t>
            </w:r>
            <w:r>
              <w:rPr>
                <w:rFonts w:ascii="仿宋_GB2312" w:eastAsia="仿宋_GB2312" w:hAnsi="Times New Roman" w:hint="eastAsia"/>
                <w:sz w:val="32"/>
                <w:szCs w:val="32"/>
                <w:lang w:eastAsia="zh-CN"/>
              </w:rPr>
              <w:t>1</w:t>
            </w:r>
            <w:r>
              <w:rPr>
                <w:rFonts w:ascii="仿宋_GB2312" w:eastAsia="仿宋_GB2312" w:hAnsi="Times New Roman" w:hint="eastAsia"/>
                <w:sz w:val="32"/>
                <w:szCs w:val="32"/>
                <w:lang w:eastAsia="zh-CN"/>
              </w:rPr>
              <w:t>次现场或远程预防性巡查（含仪器通讯接口状态检查），发现并消除系统配置及运行风险（★）</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15</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操作咨询与培训</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提供系统各项功能的应用讲解、操作指导及常见问题处理方法咨询；根据院方需求提供现场或线上操作培训，包括操作层（检验人员、输</w:t>
            </w:r>
            <w:r>
              <w:rPr>
                <w:rFonts w:ascii="仿宋_GB2312" w:eastAsia="仿宋_GB2312" w:hAnsi="Times New Roman" w:hint="eastAsia"/>
                <w:sz w:val="32"/>
                <w:szCs w:val="32"/>
                <w:lang w:eastAsia="zh-CN"/>
              </w:rPr>
              <w:lastRenderedPageBreak/>
              <w:t>血人员、护士站）、管理员层（科室信息员）及对信息科培训（★）</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16</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技术文档交付</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提供完整的安装、操作、使用、测试、控制和维护中文手册（★）</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17</w:t>
            </w:r>
          </w:p>
        </w:tc>
        <w:tc>
          <w:tcPr>
            <w:tcW w:w="158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本地化服务</w:t>
            </w:r>
          </w:p>
        </w:tc>
        <w:tc>
          <w:tcPr>
            <w:tcW w:w="5329" w:type="dxa"/>
          </w:tcPr>
          <w:p w:rsidR="00F7327C" w:rsidRDefault="00083DE9">
            <w:pPr>
              <w:spacing w:after="0" w:line="560" w:lineRule="exact"/>
              <w:rPr>
                <w:rFonts w:ascii="仿宋_GB2312" w:eastAsia="仿宋_GB2312"/>
                <w:sz w:val="32"/>
                <w:szCs w:val="32"/>
                <w:lang w:eastAsia="zh-CN"/>
              </w:rPr>
            </w:pPr>
            <w:r>
              <w:rPr>
                <w:rFonts w:ascii="仿宋_GB2312" w:eastAsia="仿宋_GB2312" w:hint="eastAsia"/>
                <w:sz w:val="32"/>
                <w:szCs w:val="32"/>
                <w:lang w:eastAsia="zh-CN"/>
              </w:rPr>
              <w:t>具备满足本需求应急响应及故障处理时效要求的服务体系和人员配置，提供</w:t>
            </w:r>
            <w:r>
              <w:rPr>
                <w:rFonts w:ascii="仿宋_GB2312" w:eastAsia="仿宋_GB2312" w:hint="eastAsia"/>
                <w:sz w:val="32"/>
                <w:szCs w:val="32"/>
                <w:lang w:eastAsia="zh-CN"/>
              </w:rPr>
              <w:t>7</w:t>
            </w:r>
            <w:r>
              <w:rPr>
                <w:rFonts w:ascii="仿宋_GB2312" w:eastAsia="仿宋_GB2312" w:hint="eastAsia"/>
                <w:sz w:val="32"/>
                <w:szCs w:val="32"/>
                <w:lang w:eastAsia="zh-CN"/>
              </w:rPr>
              <w:t>×</w:t>
            </w:r>
            <w:r>
              <w:rPr>
                <w:rFonts w:ascii="仿宋_GB2312" w:eastAsia="仿宋_GB2312" w:hint="eastAsia"/>
                <w:sz w:val="32"/>
                <w:szCs w:val="32"/>
                <w:lang w:eastAsia="zh-CN"/>
              </w:rPr>
              <w:t>24</w:t>
            </w:r>
            <w:r>
              <w:rPr>
                <w:rFonts w:ascii="仿宋_GB2312" w:eastAsia="仿宋_GB2312" w:hint="eastAsia"/>
                <w:sz w:val="32"/>
                <w:szCs w:val="32"/>
                <w:lang w:eastAsia="zh-CN"/>
              </w:rPr>
              <w:t>小时远程支持及现场服务（★）</w:t>
            </w:r>
            <w:r>
              <w:rPr>
                <w:rFonts w:ascii="仿宋_GB2312" w:eastAsia="仿宋_GB2312" w:hAnsi="Times New Roman" w:hint="eastAsia"/>
                <w:sz w:val="32"/>
                <w:szCs w:val="32"/>
                <w:lang w:eastAsia="zh-CN"/>
              </w:rPr>
              <w:t>在广西区内提供及时、高效的现场技术服务，具备满足应急响应及故障处理要求的服务体系和人员配置（★）</w:t>
            </w:r>
          </w:p>
        </w:tc>
        <w:tc>
          <w:tcPr>
            <w:tcW w:w="850"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项</w:t>
            </w:r>
          </w:p>
        </w:tc>
      </w:tr>
    </w:tbl>
    <w:p w:rsidR="00F7327C" w:rsidRDefault="00083DE9">
      <w:pPr>
        <w:spacing w:line="560" w:lineRule="exact"/>
        <w:ind w:firstLineChars="200" w:firstLine="640"/>
        <w:rPr>
          <w:rFonts w:ascii="黑体" w:eastAsia="黑体" w:hAnsi="黑体"/>
          <w:sz w:val="32"/>
          <w:szCs w:val="32"/>
          <w:lang w:eastAsia="zh-CN"/>
        </w:rPr>
      </w:pPr>
      <w:r>
        <w:rPr>
          <w:rFonts w:ascii="黑体" w:eastAsia="黑体" w:hAnsi="黑体" w:hint="eastAsia"/>
          <w:sz w:val="32"/>
          <w:szCs w:val="32"/>
          <w:lang w:eastAsia="zh-CN"/>
        </w:rPr>
        <w:t>三、应急响应分级与服务水平协议</w:t>
      </w:r>
    </w:p>
    <w:p w:rsidR="00F7327C" w:rsidRDefault="00083DE9">
      <w:pPr>
        <w:spacing w:line="560" w:lineRule="exact"/>
        <w:ind w:firstLine="420"/>
        <w:rPr>
          <w:rFonts w:ascii="仿宋_GB2312" w:eastAsia="仿宋_GB2312"/>
          <w:sz w:val="32"/>
          <w:szCs w:val="32"/>
          <w:lang w:eastAsia="zh-CN"/>
        </w:rPr>
      </w:pPr>
      <w:r>
        <w:rPr>
          <w:rFonts w:ascii="仿宋_GB2312" w:eastAsia="仿宋_GB2312" w:hAnsi="Times New Roman" w:hint="eastAsia"/>
          <w:sz w:val="32"/>
          <w:szCs w:val="32"/>
          <w:lang w:eastAsia="zh-CN"/>
        </w:rPr>
        <w:t>▲注：甲方检验科、输血科负责业务层面初步处置与信息上报，信息科负责技术层面协调，乙方提供技术支撑与远程</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到场处置。</w:t>
      </w:r>
    </w:p>
    <w:tbl>
      <w:tblPr>
        <w:tblStyle w:val="ae"/>
        <w:tblW w:w="0" w:type="auto"/>
        <w:jc w:val="center"/>
        <w:tblLook w:val="04A0" w:firstRow="1" w:lastRow="0" w:firstColumn="1" w:lastColumn="0" w:noHBand="0" w:noVBand="1"/>
      </w:tblPr>
      <w:tblGrid>
        <w:gridCol w:w="1304"/>
        <w:gridCol w:w="2948"/>
        <w:gridCol w:w="1417"/>
        <w:gridCol w:w="1531"/>
        <w:gridCol w:w="1417"/>
      </w:tblGrid>
      <w:tr w:rsidR="00F7327C">
        <w:trPr>
          <w:jc w:val="center"/>
        </w:trPr>
        <w:tc>
          <w:tcPr>
            <w:tcW w:w="1304"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事件级别</w:t>
            </w:r>
          </w:p>
        </w:tc>
        <w:tc>
          <w:tcPr>
            <w:tcW w:w="2948"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定义</w:t>
            </w:r>
          </w:p>
        </w:tc>
        <w:tc>
          <w:tcPr>
            <w:tcW w:w="1417"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响应时效</w:t>
            </w:r>
          </w:p>
        </w:tc>
        <w:tc>
          <w:tcPr>
            <w:tcW w:w="1531"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到场</w:t>
            </w:r>
            <w:r>
              <w:rPr>
                <w:rFonts w:ascii="仿宋_GB2312" w:eastAsia="仿宋_GB2312" w:hAnsi="Times New Roman" w:hint="eastAsia"/>
                <w:b/>
                <w:sz w:val="32"/>
                <w:szCs w:val="32"/>
              </w:rPr>
              <w:t>/</w:t>
            </w:r>
            <w:r>
              <w:rPr>
                <w:rFonts w:ascii="仿宋_GB2312" w:eastAsia="仿宋_GB2312" w:hAnsi="Times New Roman" w:hint="eastAsia"/>
                <w:b/>
                <w:sz w:val="32"/>
                <w:szCs w:val="32"/>
              </w:rPr>
              <w:t>接入时效</w:t>
            </w:r>
          </w:p>
        </w:tc>
        <w:tc>
          <w:tcPr>
            <w:tcW w:w="1417"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处置目标</w:t>
            </w:r>
          </w:p>
        </w:tc>
      </w:tr>
      <w:tr w:rsidR="00F7327C">
        <w:trPr>
          <w:jc w:val="center"/>
        </w:trPr>
        <w:tc>
          <w:tcPr>
            <w:tcW w:w="1304"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一级（紧急</w:t>
            </w:r>
            <w:r>
              <w:rPr>
                <w:rFonts w:ascii="仿宋_GB2312" w:eastAsia="仿宋_GB2312" w:hAnsi="Times New Roman" w:hint="eastAsia"/>
                <w:sz w:val="32"/>
                <w:szCs w:val="32"/>
              </w:rPr>
              <w:t>/</w:t>
            </w:r>
            <w:r>
              <w:rPr>
                <w:rFonts w:ascii="仿宋_GB2312" w:eastAsia="仿宋_GB2312" w:hAnsi="Times New Roman" w:hint="eastAsia"/>
                <w:sz w:val="32"/>
                <w:szCs w:val="32"/>
              </w:rPr>
              <w:t>重大）</w:t>
            </w:r>
          </w:p>
        </w:tc>
        <w:tc>
          <w:tcPr>
            <w:tcW w:w="2948"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系统瘫痪、检验</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输血业务停摆、危急值通报中断、数据接口中断导致检验业务停摆</w:t>
            </w:r>
          </w:p>
        </w:tc>
        <w:tc>
          <w:tcPr>
            <w:tcW w:w="141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远程响应≤</w:t>
            </w:r>
            <w:r>
              <w:rPr>
                <w:rFonts w:ascii="仿宋_GB2312" w:eastAsia="仿宋_GB2312" w:hAnsi="Times New Roman" w:hint="eastAsia"/>
                <w:sz w:val="32"/>
                <w:szCs w:val="32"/>
              </w:rPr>
              <w:t>1</w:t>
            </w:r>
            <w:r>
              <w:rPr>
                <w:rFonts w:ascii="仿宋_GB2312" w:eastAsia="仿宋_GB2312" w:hAnsi="Times New Roman" w:hint="eastAsia"/>
                <w:sz w:val="32"/>
                <w:szCs w:val="32"/>
              </w:rPr>
              <w:t>小时</w:t>
            </w:r>
          </w:p>
        </w:tc>
        <w:tc>
          <w:tcPr>
            <w:tcW w:w="153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12</w:t>
            </w:r>
            <w:r>
              <w:rPr>
                <w:rFonts w:ascii="仿宋_GB2312" w:eastAsia="仿宋_GB2312" w:hAnsi="Times New Roman" w:hint="eastAsia"/>
                <w:sz w:val="32"/>
                <w:szCs w:val="32"/>
              </w:rPr>
              <w:t>小时内抵达现场</w:t>
            </w:r>
          </w:p>
        </w:tc>
        <w:tc>
          <w:tcPr>
            <w:tcW w:w="1417"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24</w:t>
            </w:r>
            <w:r>
              <w:rPr>
                <w:rFonts w:ascii="仿宋_GB2312" w:eastAsia="仿宋_GB2312" w:hAnsi="Times New Roman" w:hint="eastAsia"/>
                <w:sz w:val="32"/>
                <w:szCs w:val="32"/>
                <w:lang w:eastAsia="zh-CN"/>
              </w:rPr>
              <w:t>小时内恢复系统正常运行</w:t>
            </w:r>
          </w:p>
        </w:tc>
      </w:tr>
      <w:tr w:rsidR="00F7327C">
        <w:trPr>
          <w:jc w:val="center"/>
        </w:trPr>
        <w:tc>
          <w:tcPr>
            <w:tcW w:w="1304"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二级</w:t>
            </w:r>
            <w:r>
              <w:rPr>
                <w:rFonts w:ascii="仿宋_GB2312" w:eastAsia="仿宋_GB2312" w:hAnsi="Times New Roman" w:hint="eastAsia"/>
                <w:sz w:val="32"/>
                <w:szCs w:val="32"/>
              </w:rPr>
              <w:lastRenderedPageBreak/>
              <w:t>（一般）</w:t>
            </w:r>
          </w:p>
        </w:tc>
        <w:tc>
          <w:tcPr>
            <w:tcW w:w="2948"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lastRenderedPageBreak/>
              <w:t>单模块功能异常、</w:t>
            </w:r>
            <w:r>
              <w:rPr>
                <w:rFonts w:ascii="仿宋_GB2312" w:eastAsia="仿宋_GB2312" w:hAnsi="Times New Roman" w:hint="eastAsia"/>
                <w:sz w:val="32"/>
                <w:szCs w:val="32"/>
                <w:lang w:eastAsia="zh-CN"/>
              </w:rPr>
              <w:lastRenderedPageBreak/>
              <w:t>接口数据异常、系统性能告警、一般性功能优化需求</w:t>
            </w:r>
          </w:p>
        </w:tc>
        <w:tc>
          <w:tcPr>
            <w:tcW w:w="141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远程响</w:t>
            </w:r>
            <w:r>
              <w:rPr>
                <w:rFonts w:ascii="仿宋_GB2312" w:eastAsia="仿宋_GB2312" w:hAnsi="Times New Roman" w:hint="eastAsia"/>
                <w:sz w:val="32"/>
                <w:szCs w:val="32"/>
              </w:rPr>
              <w:lastRenderedPageBreak/>
              <w:t>应≤</w:t>
            </w:r>
            <w:r>
              <w:rPr>
                <w:rFonts w:ascii="仿宋_GB2312" w:eastAsia="仿宋_GB2312" w:hAnsi="Times New Roman" w:hint="eastAsia"/>
                <w:sz w:val="32"/>
                <w:szCs w:val="32"/>
              </w:rPr>
              <w:t>1</w:t>
            </w:r>
            <w:r>
              <w:rPr>
                <w:rFonts w:ascii="仿宋_GB2312" w:eastAsia="仿宋_GB2312" w:hAnsi="Times New Roman" w:hint="eastAsia"/>
                <w:sz w:val="32"/>
                <w:szCs w:val="32"/>
              </w:rPr>
              <w:t>小时</w:t>
            </w:r>
          </w:p>
        </w:tc>
        <w:tc>
          <w:tcPr>
            <w:tcW w:w="153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远程或预</w:t>
            </w:r>
            <w:r>
              <w:rPr>
                <w:rFonts w:ascii="仿宋_GB2312" w:eastAsia="仿宋_GB2312" w:hAnsi="Times New Roman" w:hint="eastAsia"/>
                <w:sz w:val="32"/>
                <w:szCs w:val="32"/>
              </w:rPr>
              <w:lastRenderedPageBreak/>
              <w:t>约到场</w:t>
            </w:r>
          </w:p>
        </w:tc>
        <w:tc>
          <w:tcPr>
            <w:tcW w:w="141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24</w:t>
            </w:r>
            <w:r>
              <w:rPr>
                <w:rFonts w:ascii="仿宋_GB2312" w:eastAsia="仿宋_GB2312" w:hAnsi="Times New Roman" w:hint="eastAsia"/>
                <w:sz w:val="32"/>
                <w:szCs w:val="32"/>
              </w:rPr>
              <w:t>小时</w:t>
            </w:r>
            <w:r>
              <w:rPr>
                <w:rFonts w:ascii="仿宋_GB2312" w:eastAsia="仿宋_GB2312" w:hAnsi="Times New Roman" w:hint="eastAsia"/>
                <w:sz w:val="32"/>
                <w:szCs w:val="32"/>
              </w:rPr>
              <w:lastRenderedPageBreak/>
              <w:t>内完成处置</w:t>
            </w:r>
          </w:p>
        </w:tc>
      </w:tr>
      <w:tr w:rsidR="00F7327C">
        <w:trPr>
          <w:jc w:val="center"/>
        </w:trPr>
        <w:tc>
          <w:tcPr>
            <w:tcW w:w="1304"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三级（咨询）</w:t>
            </w:r>
          </w:p>
        </w:tc>
        <w:tc>
          <w:tcPr>
            <w:tcW w:w="2948"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业务咨询、报表提取、操作指导</w:t>
            </w:r>
          </w:p>
        </w:tc>
        <w:tc>
          <w:tcPr>
            <w:tcW w:w="141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工作时间及时响应</w:t>
            </w:r>
          </w:p>
        </w:tc>
        <w:tc>
          <w:tcPr>
            <w:tcW w:w="1531"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远程或预约</w:t>
            </w:r>
          </w:p>
        </w:tc>
        <w:tc>
          <w:tcPr>
            <w:tcW w:w="141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按约定时间完成</w:t>
            </w:r>
          </w:p>
        </w:tc>
      </w:tr>
    </w:tbl>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定期巡查：每季度至少一次现场或远程预防性巡查（含仪器通讯接口状态检查）。（☆）</w:t>
      </w:r>
    </w:p>
    <w:p w:rsidR="00F7327C" w:rsidRDefault="00083DE9">
      <w:pPr>
        <w:spacing w:line="560" w:lineRule="exact"/>
        <w:ind w:firstLineChars="200" w:firstLine="640"/>
        <w:rPr>
          <w:rFonts w:ascii="黑体" w:eastAsia="黑体" w:hAnsi="黑体"/>
          <w:sz w:val="32"/>
          <w:szCs w:val="32"/>
          <w:lang w:eastAsia="zh-CN"/>
        </w:rPr>
      </w:pPr>
      <w:r>
        <w:rPr>
          <w:rFonts w:ascii="黑体" w:eastAsia="黑体" w:hAnsi="黑体" w:hint="eastAsia"/>
          <w:sz w:val="32"/>
          <w:szCs w:val="32"/>
          <w:lang w:eastAsia="zh-CN"/>
        </w:rPr>
        <w:t>四、人员配置要求</w:t>
      </w:r>
    </w:p>
    <w:tbl>
      <w:tblPr>
        <w:tblStyle w:val="ae"/>
        <w:tblW w:w="0" w:type="auto"/>
        <w:jc w:val="center"/>
        <w:tblLook w:val="04A0" w:firstRow="1" w:lastRow="0" w:firstColumn="1" w:lastColumn="0" w:noHBand="0" w:noVBand="1"/>
      </w:tblPr>
      <w:tblGrid>
        <w:gridCol w:w="1304"/>
        <w:gridCol w:w="737"/>
        <w:gridCol w:w="4309"/>
        <w:gridCol w:w="1984"/>
      </w:tblGrid>
      <w:tr w:rsidR="00F7327C">
        <w:trPr>
          <w:jc w:val="center"/>
        </w:trPr>
        <w:tc>
          <w:tcPr>
            <w:tcW w:w="1304"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角色</w:t>
            </w:r>
          </w:p>
        </w:tc>
        <w:tc>
          <w:tcPr>
            <w:tcW w:w="737"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人数</w:t>
            </w:r>
          </w:p>
        </w:tc>
        <w:tc>
          <w:tcPr>
            <w:tcW w:w="4309"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经验要求</w:t>
            </w:r>
          </w:p>
        </w:tc>
        <w:tc>
          <w:tcPr>
            <w:tcW w:w="1984"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工作方式</w:t>
            </w:r>
          </w:p>
        </w:tc>
      </w:tr>
      <w:tr w:rsidR="00F7327C">
        <w:trPr>
          <w:jc w:val="center"/>
        </w:trPr>
        <w:tc>
          <w:tcPr>
            <w:tcW w:w="1304"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项目负责人</w:t>
            </w:r>
          </w:p>
        </w:tc>
        <w:tc>
          <w:tcPr>
            <w:tcW w:w="73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人</w:t>
            </w:r>
          </w:p>
        </w:tc>
        <w:tc>
          <w:tcPr>
            <w:tcW w:w="430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2</w:t>
            </w:r>
            <w:r>
              <w:rPr>
                <w:rFonts w:ascii="仿宋_GB2312" w:eastAsia="仿宋_GB2312" w:hAnsi="Times New Roman" w:hint="eastAsia"/>
                <w:sz w:val="32"/>
                <w:szCs w:val="32"/>
                <w:lang w:eastAsia="zh-CN"/>
              </w:rPr>
              <w:t>年以上医疗信息系统运维管理经验，熟悉</w:t>
            </w: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系统业务流程，具备项目统筹协调能力</w:t>
            </w:r>
          </w:p>
        </w:tc>
        <w:tc>
          <w:tcPr>
            <w:tcW w:w="1984"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总体协调，按需到场</w:t>
            </w:r>
          </w:p>
        </w:tc>
      </w:tr>
      <w:tr w:rsidR="00F7327C">
        <w:trPr>
          <w:jc w:val="center"/>
        </w:trPr>
        <w:tc>
          <w:tcPr>
            <w:tcW w:w="1304"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技术负责人</w:t>
            </w:r>
          </w:p>
        </w:tc>
        <w:tc>
          <w:tcPr>
            <w:tcW w:w="73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1</w:t>
            </w:r>
            <w:r>
              <w:rPr>
                <w:rFonts w:ascii="仿宋_GB2312" w:eastAsia="仿宋_GB2312" w:hAnsi="Times New Roman" w:hint="eastAsia"/>
                <w:sz w:val="32"/>
                <w:szCs w:val="32"/>
              </w:rPr>
              <w:t>人</w:t>
            </w:r>
          </w:p>
        </w:tc>
        <w:tc>
          <w:tcPr>
            <w:tcW w:w="430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熟悉</w:t>
            </w: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系统架构、仪器通讯接口及数据库维护，能独立分析系统日志、排查故障根因</w:t>
            </w:r>
          </w:p>
        </w:tc>
        <w:tc>
          <w:tcPr>
            <w:tcW w:w="1984"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远程</w:t>
            </w:r>
            <w:r>
              <w:rPr>
                <w:rFonts w:ascii="仿宋_GB2312" w:eastAsia="仿宋_GB2312" w:hAnsi="Times New Roman" w:hint="eastAsia"/>
                <w:sz w:val="32"/>
                <w:szCs w:val="32"/>
              </w:rPr>
              <w:t>+</w:t>
            </w:r>
            <w:r>
              <w:rPr>
                <w:rFonts w:ascii="仿宋_GB2312" w:eastAsia="仿宋_GB2312" w:hAnsi="Times New Roman" w:hint="eastAsia"/>
                <w:sz w:val="32"/>
                <w:szCs w:val="32"/>
              </w:rPr>
              <w:t>应急支持</w:t>
            </w:r>
          </w:p>
        </w:tc>
      </w:tr>
      <w:tr w:rsidR="00F7327C">
        <w:trPr>
          <w:jc w:val="center"/>
        </w:trPr>
        <w:tc>
          <w:tcPr>
            <w:tcW w:w="1304"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现场工程师</w:t>
            </w:r>
          </w:p>
        </w:tc>
        <w:tc>
          <w:tcPr>
            <w:tcW w:w="73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w:t>
            </w:r>
            <w:r>
              <w:rPr>
                <w:rFonts w:ascii="仿宋_GB2312" w:eastAsia="仿宋_GB2312" w:hAnsi="Times New Roman" w:hint="eastAsia"/>
                <w:sz w:val="32"/>
                <w:szCs w:val="32"/>
              </w:rPr>
              <w:t>1</w:t>
            </w:r>
            <w:r>
              <w:rPr>
                <w:rFonts w:ascii="仿宋_GB2312" w:eastAsia="仿宋_GB2312" w:hAnsi="Times New Roman" w:hint="eastAsia"/>
                <w:sz w:val="32"/>
                <w:szCs w:val="32"/>
              </w:rPr>
              <w:t>人</w:t>
            </w:r>
          </w:p>
        </w:tc>
        <w:tc>
          <w:tcPr>
            <w:tcW w:w="4309"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1</w:t>
            </w:r>
            <w:r>
              <w:rPr>
                <w:rFonts w:ascii="仿宋_GB2312" w:eastAsia="仿宋_GB2312" w:hAnsi="Times New Roman" w:hint="eastAsia"/>
                <w:sz w:val="32"/>
                <w:szCs w:val="32"/>
                <w:lang w:eastAsia="zh-CN"/>
              </w:rPr>
              <w:t>年以上医疗软件运维经验，能独立完成系统巡检、配置备份、故障排查及数据接口调试</w:t>
            </w:r>
          </w:p>
        </w:tc>
        <w:tc>
          <w:tcPr>
            <w:tcW w:w="1984"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按服务需求到场，无驻场要求</w:t>
            </w:r>
          </w:p>
        </w:tc>
      </w:tr>
    </w:tbl>
    <w:p w:rsidR="00F7327C" w:rsidRDefault="00083DE9">
      <w:pPr>
        <w:spacing w:line="560" w:lineRule="exact"/>
        <w:ind w:firstLine="420"/>
        <w:rPr>
          <w:rFonts w:ascii="仿宋_GB2312" w:eastAsia="仿宋_GB2312"/>
          <w:sz w:val="32"/>
          <w:szCs w:val="32"/>
          <w:lang w:eastAsia="zh-CN"/>
        </w:rPr>
      </w:pPr>
      <w:r>
        <w:rPr>
          <w:rFonts w:ascii="仿宋_GB2312" w:eastAsia="仿宋_GB2312" w:hAnsi="Times New Roman" w:hint="eastAsia"/>
          <w:sz w:val="32"/>
          <w:szCs w:val="32"/>
          <w:lang w:eastAsia="zh-CN"/>
        </w:rPr>
        <w:lastRenderedPageBreak/>
        <w:t>▲注：上述人员须为供应商本单位在职人员，响应时须提供由供应商缴纳的近</w:t>
      </w:r>
      <w:r>
        <w:rPr>
          <w:rFonts w:ascii="仿宋_GB2312" w:eastAsia="仿宋_GB2312" w:hAnsi="Times New Roman" w:hint="eastAsia"/>
          <w:sz w:val="32"/>
          <w:szCs w:val="32"/>
          <w:lang w:eastAsia="zh-CN"/>
        </w:rPr>
        <w:t>3</w:t>
      </w:r>
      <w:r>
        <w:rPr>
          <w:rFonts w:ascii="仿宋_GB2312" w:eastAsia="仿宋_GB2312" w:hAnsi="Times New Roman" w:hint="eastAsia"/>
          <w:sz w:val="32"/>
          <w:szCs w:val="32"/>
          <w:lang w:eastAsia="zh-CN"/>
        </w:rPr>
        <w:t>个月社保证明，杜绝挂靠、借资质响应。项目负责人未经甲方书面同意不得更换。供应商须在武鸣区或南宁市区配备常驻或随时可调配的技术人员，确保现场响应时效。供应商服务人员须遵守医院各项规章制度。</w:t>
      </w:r>
    </w:p>
    <w:p w:rsidR="00F7327C" w:rsidRDefault="00083DE9">
      <w:pPr>
        <w:spacing w:line="560" w:lineRule="exact"/>
        <w:ind w:firstLineChars="200" w:firstLine="640"/>
        <w:rPr>
          <w:rFonts w:ascii="黑体" w:eastAsia="黑体" w:hAnsi="黑体"/>
          <w:sz w:val="32"/>
          <w:szCs w:val="32"/>
          <w:lang w:eastAsia="zh-CN"/>
        </w:rPr>
      </w:pPr>
      <w:r>
        <w:rPr>
          <w:rFonts w:ascii="黑体" w:eastAsia="黑体" w:hAnsi="黑体" w:hint="eastAsia"/>
          <w:sz w:val="32"/>
          <w:szCs w:val="32"/>
          <w:lang w:eastAsia="zh-CN"/>
        </w:rPr>
        <w:t>五、双方责任边界</w:t>
      </w:r>
    </w:p>
    <w:p w:rsidR="00F7327C" w:rsidRDefault="00083DE9">
      <w:pPr>
        <w:spacing w:line="560" w:lineRule="exact"/>
        <w:ind w:firstLineChars="200" w:firstLine="643"/>
        <w:rPr>
          <w:rFonts w:ascii="楷体_GB2312" w:eastAsia="楷体_GB2312"/>
          <w:b/>
          <w:sz w:val="32"/>
          <w:szCs w:val="32"/>
          <w:lang w:eastAsia="zh-CN"/>
        </w:rPr>
      </w:pPr>
      <w:r>
        <w:rPr>
          <w:rFonts w:ascii="楷体_GB2312" w:eastAsia="楷体_GB2312" w:hAnsi="Times New Roman" w:hint="eastAsia"/>
          <w:b/>
          <w:sz w:val="32"/>
          <w:szCs w:val="32"/>
          <w:lang w:eastAsia="zh-CN"/>
        </w:rPr>
        <w:t>（一）甲方责任</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1. </w:t>
      </w:r>
      <w:r>
        <w:rPr>
          <w:rFonts w:ascii="仿宋_GB2312" w:eastAsia="仿宋_GB2312" w:hAnsi="Times New Roman" w:hint="eastAsia"/>
          <w:sz w:val="32"/>
          <w:szCs w:val="32"/>
          <w:lang w:eastAsia="zh-CN"/>
        </w:rPr>
        <w:t>日常运营：检验科、输血科负责日常业务操作、数据录入及业务问题初步排查；信息科负责系统运行状态监控，发现异常及时处置并通知乙方。</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2. </w:t>
      </w:r>
      <w:r>
        <w:rPr>
          <w:rFonts w:ascii="仿宋_GB2312" w:eastAsia="仿宋_GB2312" w:hAnsi="Times New Roman" w:hint="eastAsia"/>
          <w:sz w:val="32"/>
          <w:szCs w:val="32"/>
          <w:lang w:eastAsia="zh-CN"/>
        </w:rPr>
        <w:t>数据管理：负责日常业务数据录入、核对及备份，确保数据源头准确性。</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3. </w:t>
      </w:r>
      <w:r>
        <w:rPr>
          <w:rFonts w:ascii="仿宋_GB2312" w:eastAsia="仿宋_GB2312" w:hAnsi="Times New Roman" w:hint="eastAsia"/>
          <w:sz w:val="32"/>
          <w:szCs w:val="32"/>
          <w:lang w:eastAsia="zh-CN"/>
        </w:rPr>
        <w:t>需求管理：负责提出业务功能优化需求、报表调整需求，复杂技术需求提交乙方评估。</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4. </w:t>
      </w:r>
      <w:r>
        <w:rPr>
          <w:rFonts w:ascii="仿宋_GB2312" w:eastAsia="仿宋_GB2312" w:hAnsi="Times New Roman" w:hint="eastAsia"/>
          <w:sz w:val="32"/>
          <w:szCs w:val="32"/>
          <w:lang w:eastAsia="zh-CN"/>
        </w:rPr>
        <w:t>应急响应：负责一级安全</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业务事件的初步隔离与信息上报，协调乙方二级响应。</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5. </w:t>
      </w:r>
      <w:r>
        <w:rPr>
          <w:rFonts w:ascii="仿宋_GB2312" w:eastAsia="仿宋_GB2312" w:hAnsi="Times New Roman" w:hint="eastAsia"/>
          <w:sz w:val="32"/>
          <w:szCs w:val="32"/>
          <w:lang w:eastAsia="zh-CN"/>
        </w:rPr>
        <w:t>基础条件保障：向乙方提供运维工作所需的系统管理账号、数据库访问权限（只读及配置权限按需开通）、机房出入便利及必要的办公条件。</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6. </w:t>
      </w:r>
      <w:r>
        <w:rPr>
          <w:rFonts w:ascii="仿宋_GB2312" w:eastAsia="仿宋_GB2312" w:hAnsi="Times New Roman" w:hint="eastAsia"/>
          <w:sz w:val="32"/>
          <w:szCs w:val="32"/>
          <w:lang w:eastAsia="zh-CN"/>
        </w:rPr>
        <w:t>业务协调：负责向乙方提供</w:t>
      </w:r>
      <w:r>
        <w:rPr>
          <w:rFonts w:ascii="仿宋_GB2312" w:eastAsia="仿宋_GB2312" w:hAnsi="Times New Roman" w:hint="eastAsia"/>
          <w:sz w:val="32"/>
          <w:szCs w:val="32"/>
          <w:lang w:eastAsia="zh-CN"/>
        </w:rPr>
        <w:t>HIS</w:t>
      </w:r>
      <w:r>
        <w:rPr>
          <w:rFonts w:ascii="仿宋_GB2312" w:eastAsia="仿宋_GB2312" w:hAnsi="Times New Roman" w:hint="eastAsia"/>
          <w:sz w:val="32"/>
          <w:szCs w:val="32"/>
          <w:lang w:eastAsia="zh-CN"/>
        </w:rPr>
        <w:t>等第三方系统接口技术文档及业务变更需求，以便乙方准确调整数据接口；负责日常</w:t>
      </w:r>
      <w:r>
        <w:rPr>
          <w:rFonts w:ascii="仿宋_GB2312" w:eastAsia="仿宋_GB2312" w:hAnsi="Times New Roman" w:hint="eastAsia"/>
          <w:sz w:val="32"/>
          <w:szCs w:val="32"/>
          <w:lang w:eastAsia="zh-CN"/>
        </w:rPr>
        <w:lastRenderedPageBreak/>
        <w:t>管理决策（如业务上线窗口协调），乙方仅提供技术执行及建议。</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7. </w:t>
      </w:r>
      <w:r>
        <w:rPr>
          <w:rFonts w:ascii="仿宋_GB2312" w:eastAsia="仿宋_GB2312" w:hAnsi="Times New Roman" w:hint="eastAsia"/>
          <w:sz w:val="32"/>
          <w:szCs w:val="32"/>
          <w:lang w:eastAsia="zh-CN"/>
        </w:rPr>
        <w:t>进场准备：在乙方进场前，确保维保系统清单中系统</w:t>
      </w:r>
      <w:r>
        <w:rPr>
          <w:rFonts w:ascii="仿宋_GB2312" w:eastAsia="仿宋_GB2312" w:hAnsi="Times New Roman" w:hint="eastAsia"/>
          <w:sz w:val="32"/>
          <w:szCs w:val="32"/>
          <w:lang w:eastAsia="zh-CN"/>
        </w:rPr>
        <w:t>正常运行，并告知乙方系统当前授权到期日及版本信息。</w:t>
      </w:r>
    </w:p>
    <w:p w:rsidR="00F7327C" w:rsidRDefault="00083DE9">
      <w:pPr>
        <w:spacing w:line="560" w:lineRule="exact"/>
        <w:ind w:firstLineChars="200" w:firstLine="643"/>
        <w:rPr>
          <w:rFonts w:ascii="楷体_GB2312" w:eastAsia="楷体_GB2312"/>
          <w:b/>
          <w:sz w:val="32"/>
          <w:szCs w:val="32"/>
          <w:lang w:eastAsia="zh-CN"/>
        </w:rPr>
      </w:pPr>
      <w:r>
        <w:rPr>
          <w:rFonts w:ascii="楷体_GB2312" w:eastAsia="楷体_GB2312" w:hAnsi="Times New Roman" w:hint="eastAsia"/>
          <w:b/>
          <w:sz w:val="32"/>
          <w:szCs w:val="32"/>
          <w:lang w:eastAsia="zh-CN"/>
        </w:rPr>
        <w:t>（二）乙方责任</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1. </w:t>
      </w:r>
      <w:r>
        <w:rPr>
          <w:rFonts w:ascii="仿宋_GB2312" w:eastAsia="仿宋_GB2312" w:hAnsi="Times New Roman" w:hint="eastAsia"/>
          <w:sz w:val="32"/>
          <w:szCs w:val="32"/>
          <w:lang w:eastAsia="zh-CN"/>
        </w:rPr>
        <w:t>按本需求及合同约定提供全部运维服务，确保甲方</w:t>
      </w:r>
      <w:r>
        <w:rPr>
          <w:rFonts w:ascii="仿宋_GB2312" w:eastAsia="仿宋_GB2312" w:hAnsi="Times New Roman" w:hint="eastAsia"/>
          <w:sz w:val="32"/>
          <w:szCs w:val="32"/>
          <w:lang w:eastAsia="zh-CN"/>
        </w:rPr>
        <w:t>LIS</w:t>
      </w:r>
      <w:r>
        <w:rPr>
          <w:rFonts w:ascii="仿宋_GB2312" w:eastAsia="仿宋_GB2312" w:hAnsi="Times New Roman" w:hint="eastAsia"/>
          <w:sz w:val="32"/>
          <w:szCs w:val="32"/>
          <w:lang w:eastAsia="zh-CN"/>
        </w:rPr>
        <w:t>系统稳定运行、数据准确、接口畅通。</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2. </w:t>
      </w:r>
      <w:r>
        <w:rPr>
          <w:rFonts w:ascii="仿宋_GB2312" w:eastAsia="仿宋_GB2312" w:hAnsi="Times New Roman" w:hint="eastAsia"/>
          <w:sz w:val="32"/>
          <w:szCs w:val="32"/>
          <w:lang w:eastAsia="zh-CN"/>
        </w:rPr>
        <w:t>提供</w:t>
      </w:r>
      <w:r>
        <w:rPr>
          <w:rFonts w:ascii="仿宋_GB2312" w:eastAsia="仿宋_GB2312" w:hAnsi="Times New Roman" w:hint="eastAsia"/>
          <w:sz w:val="32"/>
          <w:szCs w:val="32"/>
          <w:lang w:eastAsia="zh-CN"/>
        </w:rPr>
        <w:t>7</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24</w:t>
      </w:r>
      <w:r>
        <w:rPr>
          <w:rFonts w:ascii="仿宋_GB2312" w:eastAsia="仿宋_GB2312" w:hAnsi="Times New Roman" w:hint="eastAsia"/>
          <w:sz w:val="32"/>
          <w:szCs w:val="32"/>
          <w:lang w:eastAsia="zh-CN"/>
        </w:rPr>
        <w:t>小时应急热线，按服务水平协议要求响应并远程</w:t>
      </w:r>
      <w:r>
        <w:rPr>
          <w:rFonts w:ascii="仿宋_GB2312" w:eastAsia="仿宋_GB2312" w:hAnsi="Times New Roman" w:hint="eastAsia"/>
          <w:sz w:val="32"/>
          <w:szCs w:val="32"/>
          <w:lang w:eastAsia="zh-CN"/>
        </w:rPr>
        <w:t>/</w:t>
      </w:r>
      <w:r>
        <w:rPr>
          <w:rFonts w:ascii="仿宋_GB2312" w:eastAsia="仿宋_GB2312" w:hAnsi="Times New Roman" w:hint="eastAsia"/>
          <w:sz w:val="32"/>
          <w:szCs w:val="32"/>
          <w:lang w:eastAsia="zh-CN"/>
        </w:rPr>
        <w:t>到场处置。</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3. </w:t>
      </w:r>
      <w:r>
        <w:rPr>
          <w:rFonts w:ascii="仿宋_GB2312" w:eastAsia="仿宋_GB2312" w:hAnsi="Times New Roman" w:hint="eastAsia"/>
          <w:sz w:val="32"/>
          <w:szCs w:val="32"/>
          <w:lang w:eastAsia="zh-CN"/>
        </w:rPr>
        <w:t>每季度开展预防性巡查。</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4. </w:t>
      </w:r>
      <w:r>
        <w:rPr>
          <w:rFonts w:ascii="仿宋_GB2312" w:eastAsia="仿宋_GB2312" w:hAnsi="Times New Roman" w:hint="eastAsia"/>
          <w:sz w:val="32"/>
          <w:szCs w:val="32"/>
          <w:lang w:eastAsia="zh-CN"/>
        </w:rPr>
        <w:t>建立运维档案，记录每次巡检、故障处理、配置变更、备份执行的时间、内容及结果，服务期满后移交甲方。</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5. </w:t>
      </w:r>
      <w:r>
        <w:rPr>
          <w:rFonts w:ascii="仿宋_GB2312" w:eastAsia="仿宋_GB2312" w:hAnsi="Times New Roman" w:hint="eastAsia"/>
          <w:sz w:val="32"/>
          <w:szCs w:val="32"/>
          <w:lang w:eastAsia="zh-CN"/>
        </w:rPr>
        <w:t>未经甲方书面同意，不得擅自更换项目负责人；确需更换的须提前</w:t>
      </w:r>
      <w:r>
        <w:rPr>
          <w:rFonts w:ascii="仿宋_GB2312" w:eastAsia="仿宋_GB2312" w:hAnsi="Times New Roman" w:hint="eastAsia"/>
          <w:sz w:val="32"/>
          <w:szCs w:val="32"/>
          <w:lang w:eastAsia="zh-CN"/>
        </w:rPr>
        <w:t>15</w:t>
      </w:r>
      <w:r>
        <w:rPr>
          <w:rFonts w:ascii="仿宋_GB2312" w:eastAsia="仿宋_GB2312" w:hAnsi="Times New Roman" w:hint="eastAsia"/>
          <w:sz w:val="32"/>
          <w:szCs w:val="32"/>
          <w:lang w:eastAsia="zh-CN"/>
        </w:rPr>
        <w:t>日书面申请，并提供同等或更高经验替代人员。</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6. </w:t>
      </w:r>
      <w:r>
        <w:rPr>
          <w:rFonts w:ascii="仿宋_GB2312" w:eastAsia="仿宋_GB2312" w:hAnsi="Times New Roman" w:hint="eastAsia"/>
          <w:sz w:val="32"/>
          <w:szCs w:val="32"/>
          <w:lang w:eastAsia="zh-CN"/>
        </w:rPr>
        <w:t>不得以任何形式在甲方系统或交付成果中设置加密狗、时间锁、授权码等限制正常运行的措施。</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7. </w:t>
      </w:r>
      <w:r>
        <w:rPr>
          <w:rFonts w:ascii="仿宋_GB2312" w:eastAsia="仿宋_GB2312" w:hAnsi="Times New Roman" w:hint="eastAsia"/>
          <w:sz w:val="32"/>
          <w:szCs w:val="32"/>
          <w:lang w:eastAsia="zh-CN"/>
        </w:rPr>
        <w:t>服务期满或合同终止后，配合完成数据迁移、系统交接等工作。</w:t>
      </w:r>
    </w:p>
    <w:p w:rsidR="00F7327C" w:rsidRDefault="00083DE9">
      <w:pPr>
        <w:spacing w:line="560" w:lineRule="exact"/>
        <w:ind w:firstLineChars="200" w:firstLine="640"/>
        <w:rPr>
          <w:rFonts w:ascii="黑体" w:eastAsia="黑体" w:hAnsi="黑体"/>
          <w:sz w:val="32"/>
          <w:szCs w:val="32"/>
        </w:rPr>
      </w:pPr>
      <w:r>
        <w:rPr>
          <w:rFonts w:ascii="黑体" w:eastAsia="黑体" w:hAnsi="黑体" w:hint="eastAsia"/>
          <w:sz w:val="32"/>
          <w:szCs w:val="32"/>
        </w:rPr>
        <w:t>六、交付成果清单</w:t>
      </w:r>
    </w:p>
    <w:tbl>
      <w:tblPr>
        <w:tblStyle w:val="ae"/>
        <w:tblW w:w="0" w:type="auto"/>
        <w:jc w:val="center"/>
        <w:tblLook w:val="04A0" w:firstRow="1" w:lastRow="0" w:firstColumn="1" w:lastColumn="0" w:noHBand="0" w:noVBand="1"/>
      </w:tblPr>
      <w:tblGrid>
        <w:gridCol w:w="567"/>
        <w:gridCol w:w="4932"/>
        <w:gridCol w:w="3118"/>
      </w:tblGrid>
      <w:tr w:rsidR="00F7327C">
        <w:trPr>
          <w:jc w:val="center"/>
        </w:trPr>
        <w:tc>
          <w:tcPr>
            <w:tcW w:w="567"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序</w:t>
            </w:r>
            <w:r>
              <w:rPr>
                <w:rFonts w:ascii="仿宋_GB2312" w:eastAsia="仿宋_GB2312" w:hAnsi="Times New Roman" w:hint="eastAsia"/>
                <w:b/>
                <w:sz w:val="32"/>
                <w:szCs w:val="32"/>
              </w:rPr>
              <w:lastRenderedPageBreak/>
              <w:t>号</w:t>
            </w:r>
          </w:p>
        </w:tc>
        <w:tc>
          <w:tcPr>
            <w:tcW w:w="4932"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lastRenderedPageBreak/>
              <w:t>交付成果</w:t>
            </w:r>
          </w:p>
        </w:tc>
        <w:tc>
          <w:tcPr>
            <w:tcW w:w="3118"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周期</w:t>
            </w:r>
            <w:r>
              <w:rPr>
                <w:rFonts w:ascii="仿宋_GB2312" w:eastAsia="仿宋_GB2312" w:hAnsi="Times New Roman" w:hint="eastAsia"/>
                <w:b/>
                <w:sz w:val="32"/>
                <w:szCs w:val="32"/>
              </w:rPr>
              <w:t>/</w:t>
            </w:r>
            <w:r>
              <w:rPr>
                <w:rFonts w:ascii="仿宋_GB2312" w:eastAsia="仿宋_GB2312" w:hAnsi="Times New Roman" w:hint="eastAsia"/>
                <w:b/>
                <w:sz w:val="32"/>
                <w:szCs w:val="32"/>
              </w:rPr>
              <w:t>时限</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lastRenderedPageBreak/>
              <w:t>1</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《系统现状基线报告》及《全年运维计划》</w:t>
            </w:r>
          </w:p>
        </w:tc>
        <w:tc>
          <w:tcPr>
            <w:tcW w:w="3118"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进场后</w:t>
            </w:r>
            <w:r>
              <w:rPr>
                <w:rFonts w:ascii="仿宋_GB2312" w:eastAsia="仿宋_GB2312" w:hAnsi="Times New Roman" w:hint="eastAsia"/>
                <w:sz w:val="32"/>
                <w:szCs w:val="32"/>
              </w:rPr>
              <w:t>1</w:t>
            </w:r>
            <w:r>
              <w:rPr>
                <w:rFonts w:ascii="仿宋_GB2312" w:eastAsia="仿宋_GB2312" w:hAnsi="Times New Roman" w:hint="eastAsia"/>
                <w:sz w:val="32"/>
                <w:szCs w:val="32"/>
              </w:rPr>
              <w:t>个月内</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2</w:t>
            </w:r>
          </w:p>
        </w:tc>
        <w:tc>
          <w:tcPr>
            <w:tcW w:w="4932"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《季度巡查报告》</w:t>
            </w:r>
          </w:p>
        </w:tc>
        <w:tc>
          <w:tcPr>
            <w:tcW w:w="3118"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每季度</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3</w:t>
            </w:r>
          </w:p>
        </w:tc>
        <w:tc>
          <w:tcPr>
            <w:tcW w:w="4932"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《应急响应报告》</w:t>
            </w:r>
          </w:p>
        </w:tc>
        <w:tc>
          <w:tcPr>
            <w:tcW w:w="3118"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每次事件后</w:t>
            </w:r>
            <w:r>
              <w:rPr>
                <w:rFonts w:ascii="仿宋_GB2312" w:eastAsia="仿宋_GB2312" w:hAnsi="Times New Roman" w:hint="eastAsia"/>
                <w:sz w:val="32"/>
                <w:szCs w:val="32"/>
                <w:lang w:eastAsia="zh-CN"/>
              </w:rPr>
              <w:t>3</w:t>
            </w:r>
            <w:r>
              <w:rPr>
                <w:rFonts w:ascii="仿宋_GB2312" w:eastAsia="仿宋_GB2312" w:hAnsi="Times New Roman" w:hint="eastAsia"/>
                <w:sz w:val="32"/>
                <w:szCs w:val="32"/>
                <w:lang w:eastAsia="zh-CN"/>
              </w:rPr>
              <w:t>个工作日内</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4</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《备份恢复演练报告》</w:t>
            </w:r>
          </w:p>
        </w:tc>
        <w:tc>
          <w:tcPr>
            <w:tcW w:w="3118"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每年至少一次</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5</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《系统使用培训记录及操作手册》</w:t>
            </w:r>
          </w:p>
        </w:tc>
        <w:tc>
          <w:tcPr>
            <w:tcW w:w="3118"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培训后</w:t>
            </w:r>
            <w:r>
              <w:rPr>
                <w:rFonts w:ascii="仿宋_GB2312" w:eastAsia="仿宋_GB2312" w:hAnsi="Times New Roman" w:hint="eastAsia"/>
                <w:sz w:val="32"/>
                <w:szCs w:val="32"/>
              </w:rPr>
              <w:t>5</w:t>
            </w:r>
            <w:r>
              <w:rPr>
                <w:rFonts w:ascii="仿宋_GB2312" w:eastAsia="仿宋_GB2312" w:hAnsi="Times New Roman" w:hint="eastAsia"/>
                <w:sz w:val="32"/>
                <w:szCs w:val="32"/>
              </w:rPr>
              <w:t>个工作日内</w:t>
            </w:r>
          </w:p>
        </w:tc>
      </w:tr>
      <w:tr w:rsidR="00F7327C">
        <w:trPr>
          <w:jc w:val="center"/>
        </w:trPr>
        <w:tc>
          <w:tcPr>
            <w:tcW w:w="567"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6</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《年度运维总结报告》</w:t>
            </w:r>
          </w:p>
        </w:tc>
        <w:tc>
          <w:tcPr>
            <w:tcW w:w="3118"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服务期满后</w:t>
            </w:r>
            <w:r>
              <w:rPr>
                <w:rFonts w:ascii="仿宋_GB2312" w:eastAsia="仿宋_GB2312" w:hAnsi="Times New Roman" w:hint="eastAsia"/>
                <w:sz w:val="32"/>
                <w:szCs w:val="32"/>
                <w:lang w:eastAsia="zh-CN"/>
              </w:rPr>
              <w:t>15</w:t>
            </w:r>
            <w:r>
              <w:rPr>
                <w:rFonts w:ascii="仿宋_GB2312" w:eastAsia="仿宋_GB2312" w:hAnsi="Times New Roman" w:hint="eastAsia"/>
                <w:sz w:val="32"/>
                <w:szCs w:val="32"/>
                <w:lang w:eastAsia="zh-CN"/>
              </w:rPr>
              <w:t>个工作日内</w:t>
            </w:r>
          </w:p>
        </w:tc>
      </w:tr>
    </w:tbl>
    <w:p w:rsidR="00F7327C" w:rsidRDefault="00083DE9">
      <w:pPr>
        <w:spacing w:line="560" w:lineRule="exact"/>
        <w:ind w:firstLineChars="200" w:firstLine="640"/>
        <w:rPr>
          <w:rFonts w:ascii="黑体" w:eastAsia="黑体" w:hAnsi="黑体"/>
          <w:sz w:val="32"/>
          <w:szCs w:val="32"/>
          <w:lang w:eastAsia="zh-CN"/>
        </w:rPr>
      </w:pPr>
      <w:r>
        <w:rPr>
          <w:rFonts w:ascii="黑体" w:eastAsia="黑体" w:hAnsi="黑体" w:hint="eastAsia"/>
          <w:sz w:val="32"/>
          <w:szCs w:val="32"/>
          <w:lang w:eastAsia="zh-CN"/>
        </w:rPr>
        <w:t>七、付款方式</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本项目运维服务费用采用一次性支付方式：合同生效后，乙方开具合同全额合法有效发票，甲方收到发票后</w:t>
      </w:r>
      <w:r>
        <w:rPr>
          <w:rFonts w:ascii="仿宋_GB2312" w:eastAsia="仿宋_GB2312" w:hAnsi="Times New Roman" w:hint="eastAsia"/>
          <w:sz w:val="32"/>
          <w:szCs w:val="32"/>
          <w:lang w:eastAsia="zh-CN"/>
        </w:rPr>
        <w:t>30</w:t>
      </w:r>
      <w:r>
        <w:rPr>
          <w:rFonts w:ascii="仿宋_GB2312" w:eastAsia="仿宋_GB2312" w:hAnsi="Times New Roman" w:hint="eastAsia"/>
          <w:sz w:val="32"/>
          <w:szCs w:val="32"/>
          <w:lang w:eastAsia="zh-CN"/>
        </w:rPr>
        <w:t>日内一次性支付合同全款。本项目不设置季度考核。</w:t>
      </w:r>
    </w:p>
    <w:p w:rsidR="00F7327C" w:rsidRDefault="00083DE9">
      <w:pPr>
        <w:spacing w:line="560" w:lineRule="exact"/>
        <w:ind w:firstLineChars="200" w:firstLine="640"/>
        <w:rPr>
          <w:rFonts w:ascii="黑体" w:eastAsia="黑体" w:hAnsi="黑体"/>
          <w:sz w:val="32"/>
          <w:szCs w:val="32"/>
        </w:rPr>
      </w:pPr>
      <w:r>
        <w:rPr>
          <w:rFonts w:ascii="黑体" w:eastAsia="黑体" w:hAnsi="黑体" w:hint="eastAsia"/>
          <w:sz w:val="32"/>
          <w:szCs w:val="32"/>
        </w:rPr>
        <w:t>八、违约责任</w:t>
      </w:r>
    </w:p>
    <w:tbl>
      <w:tblPr>
        <w:tblStyle w:val="ae"/>
        <w:tblW w:w="0" w:type="auto"/>
        <w:jc w:val="center"/>
        <w:tblLook w:val="04A0" w:firstRow="1" w:lastRow="0" w:firstColumn="1" w:lastColumn="0" w:noHBand="0" w:noVBand="1"/>
      </w:tblPr>
      <w:tblGrid>
        <w:gridCol w:w="3685"/>
        <w:gridCol w:w="4932"/>
      </w:tblGrid>
      <w:tr w:rsidR="00F7327C">
        <w:trPr>
          <w:jc w:val="center"/>
        </w:trPr>
        <w:tc>
          <w:tcPr>
            <w:tcW w:w="3685"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违约情形</w:t>
            </w:r>
          </w:p>
        </w:tc>
        <w:tc>
          <w:tcPr>
            <w:tcW w:w="4932" w:type="dxa"/>
          </w:tcPr>
          <w:p w:rsidR="00F7327C" w:rsidRDefault="00083DE9">
            <w:pPr>
              <w:spacing w:after="0" w:line="560" w:lineRule="exact"/>
              <w:jc w:val="center"/>
              <w:rPr>
                <w:rFonts w:ascii="仿宋_GB2312" w:eastAsia="仿宋_GB2312"/>
                <w:sz w:val="32"/>
                <w:szCs w:val="32"/>
              </w:rPr>
            </w:pPr>
            <w:r>
              <w:rPr>
                <w:rFonts w:ascii="仿宋_GB2312" w:eastAsia="仿宋_GB2312" w:hAnsi="Times New Roman" w:hint="eastAsia"/>
                <w:b/>
                <w:sz w:val="32"/>
                <w:szCs w:val="32"/>
              </w:rPr>
              <w:t>违约责任</w:t>
            </w:r>
          </w:p>
        </w:tc>
      </w:tr>
      <w:tr w:rsidR="00F7327C">
        <w:trPr>
          <w:jc w:val="center"/>
        </w:trPr>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一般违约（不履行或不完全履行合同义务）</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违约方支付合同总金额</w:t>
            </w:r>
            <w:r>
              <w:rPr>
                <w:rFonts w:ascii="仿宋_GB2312" w:eastAsia="仿宋_GB2312" w:hAnsi="Times New Roman" w:hint="eastAsia"/>
                <w:sz w:val="32"/>
                <w:szCs w:val="32"/>
                <w:lang w:eastAsia="zh-CN"/>
              </w:rPr>
              <w:t>10%</w:t>
            </w:r>
            <w:r>
              <w:rPr>
                <w:rFonts w:ascii="仿宋_GB2312" w:eastAsia="仿宋_GB2312" w:hAnsi="Times New Roman" w:hint="eastAsia"/>
                <w:sz w:val="32"/>
                <w:szCs w:val="32"/>
                <w:lang w:eastAsia="zh-CN"/>
              </w:rPr>
              <w:t>违约金；不足抵付损失的，另行赔偿</w:t>
            </w:r>
          </w:p>
        </w:tc>
      </w:tr>
      <w:tr w:rsidR="00F7327C">
        <w:trPr>
          <w:jc w:val="center"/>
        </w:trPr>
        <w:tc>
          <w:tcPr>
            <w:tcW w:w="3685"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乙方逾期进场</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每逾期</w:t>
            </w:r>
            <w:r>
              <w:rPr>
                <w:rFonts w:ascii="仿宋_GB2312" w:eastAsia="仿宋_GB2312" w:hAnsi="Times New Roman" w:hint="eastAsia"/>
                <w:sz w:val="32"/>
                <w:szCs w:val="32"/>
                <w:lang w:eastAsia="zh-CN"/>
              </w:rPr>
              <w:t>1</w:t>
            </w:r>
            <w:r>
              <w:rPr>
                <w:rFonts w:ascii="仿宋_GB2312" w:eastAsia="仿宋_GB2312" w:hAnsi="Times New Roman" w:hint="eastAsia"/>
                <w:sz w:val="32"/>
                <w:szCs w:val="32"/>
                <w:lang w:eastAsia="zh-CN"/>
              </w:rPr>
              <w:t>日按合同总额万分之五支付违约金；逾期超</w:t>
            </w:r>
            <w:r>
              <w:rPr>
                <w:rFonts w:ascii="仿宋_GB2312" w:eastAsia="仿宋_GB2312" w:hAnsi="Times New Roman" w:hint="eastAsia"/>
                <w:sz w:val="32"/>
                <w:szCs w:val="32"/>
                <w:lang w:eastAsia="zh-CN"/>
              </w:rPr>
              <w:t>15</w:t>
            </w:r>
            <w:r>
              <w:rPr>
                <w:rFonts w:ascii="仿宋_GB2312" w:eastAsia="仿宋_GB2312" w:hAnsi="Times New Roman" w:hint="eastAsia"/>
                <w:sz w:val="32"/>
                <w:szCs w:val="32"/>
                <w:lang w:eastAsia="zh-CN"/>
              </w:rPr>
              <w:t>日，甲方有权解除合同</w:t>
            </w:r>
          </w:p>
        </w:tc>
      </w:tr>
      <w:tr w:rsidR="00F7327C">
        <w:trPr>
          <w:jc w:val="center"/>
        </w:trPr>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乙方逾期提交季度巡查</w:t>
            </w:r>
            <w:r>
              <w:rPr>
                <w:rFonts w:ascii="仿宋_GB2312" w:eastAsia="仿宋_GB2312" w:hAnsi="Times New Roman" w:hint="eastAsia"/>
                <w:sz w:val="32"/>
                <w:szCs w:val="32"/>
                <w:lang w:eastAsia="zh-CN"/>
              </w:rPr>
              <w:lastRenderedPageBreak/>
              <w:t>报告或首次基线报告</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lastRenderedPageBreak/>
              <w:t>每逾期</w:t>
            </w:r>
            <w:r>
              <w:rPr>
                <w:rFonts w:ascii="仿宋_GB2312" w:eastAsia="仿宋_GB2312" w:hAnsi="Times New Roman" w:hint="eastAsia"/>
                <w:sz w:val="32"/>
                <w:szCs w:val="32"/>
                <w:lang w:eastAsia="zh-CN"/>
              </w:rPr>
              <w:t>1</w:t>
            </w:r>
            <w:r>
              <w:rPr>
                <w:rFonts w:ascii="仿宋_GB2312" w:eastAsia="仿宋_GB2312" w:hAnsi="Times New Roman" w:hint="eastAsia"/>
                <w:sz w:val="32"/>
                <w:szCs w:val="32"/>
                <w:lang w:eastAsia="zh-CN"/>
              </w:rPr>
              <w:t>日按合同总额万分之五</w:t>
            </w:r>
            <w:r>
              <w:rPr>
                <w:rFonts w:ascii="仿宋_GB2312" w:eastAsia="仿宋_GB2312" w:hAnsi="Times New Roman" w:hint="eastAsia"/>
                <w:sz w:val="32"/>
                <w:szCs w:val="32"/>
                <w:lang w:eastAsia="zh-CN"/>
              </w:rPr>
              <w:lastRenderedPageBreak/>
              <w:t>支付违约金</w:t>
            </w:r>
          </w:p>
        </w:tc>
      </w:tr>
      <w:tr w:rsidR="00F7327C">
        <w:trPr>
          <w:jc w:val="center"/>
        </w:trPr>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lastRenderedPageBreak/>
              <w:t>乙方未按服务水平协议响应或处置</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每次违约金为合同总额</w:t>
            </w:r>
            <w:r>
              <w:rPr>
                <w:rFonts w:ascii="仿宋_GB2312" w:eastAsia="仿宋_GB2312" w:hAnsi="Times New Roman" w:hint="eastAsia"/>
                <w:sz w:val="32"/>
                <w:szCs w:val="32"/>
                <w:lang w:eastAsia="zh-CN"/>
              </w:rPr>
              <w:t>1%</w:t>
            </w:r>
            <w:r>
              <w:rPr>
                <w:rFonts w:ascii="仿宋_GB2312" w:eastAsia="仿宋_GB2312" w:hAnsi="Times New Roman" w:hint="eastAsia"/>
                <w:sz w:val="32"/>
                <w:szCs w:val="32"/>
                <w:lang w:eastAsia="zh-CN"/>
              </w:rPr>
              <w:t>；造成甲方损失的，另行赔偿</w:t>
            </w:r>
          </w:p>
        </w:tc>
      </w:tr>
      <w:tr w:rsidR="00F7327C">
        <w:trPr>
          <w:jc w:val="center"/>
        </w:trPr>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乙方擅自更换项目负责人</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甲方有权解除合同，乙方支付违约金</w:t>
            </w:r>
            <w:r>
              <w:rPr>
                <w:rFonts w:ascii="仿宋_GB2312" w:eastAsia="仿宋_GB2312" w:hAnsi="Times New Roman" w:hint="eastAsia"/>
                <w:sz w:val="32"/>
                <w:szCs w:val="32"/>
                <w:lang w:eastAsia="zh-CN"/>
              </w:rPr>
              <w:t>3</w:t>
            </w:r>
            <w:r>
              <w:rPr>
                <w:rFonts w:ascii="仿宋_GB2312" w:eastAsia="仿宋_GB2312" w:hAnsi="Times New Roman" w:hint="eastAsia"/>
                <w:sz w:val="32"/>
                <w:szCs w:val="32"/>
                <w:lang w:eastAsia="zh-CN"/>
              </w:rPr>
              <w:t>万元</w:t>
            </w:r>
          </w:p>
        </w:tc>
      </w:tr>
      <w:tr w:rsidR="00F7327C">
        <w:trPr>
          <w:jc w:val="center"/>
        </w:trPr>
        <w:tc>
          <w:tcPr>
            <w:tcW w:w="3685"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乙方擅自更换工程师</w:t>
            </w:r>
          </w:p>
        </w:tc>
        <w:tc>
          <w:tcPr>
            <w:tcW w:w="4932" w:type="dxa"/>
          </w:tcPr>
          <w:p w:rsidR="00F7327C" w:rsidRDefault="00083DE9">
            <w:pPr>
              <w:spacing w:after="0" w:line="560" w:lineRule="exact"/>
              <w:rPr>
                <w:rFonts w:ascii="仿宋_GB2312" w:eastAsia="仿宋_GB2312"/>
                <w:sz w:val="32"/>
                <w:szCs w:val="32"/>
              </w:rPr>
            </w:pPr>
            <w:r>
              <w:rPr>
                <w:rFonts w:ascii="仿宋_GB2312" w:eastAsia="仿宋_GB2312" w:hAnsi="Times New Roman" w:hint="eastAsia"/>
                <w:sz w:val="32"/>
                <w:szCs w:val="32"/>
              </w:rPr>
              <w:t>每人次违约金</w:t>
            </w:r>
            <w:r>
              <w:rPr>
                <w:rFonts w:ascii="仿宋_GB2312" w:eastAsia="仿宋_GB2312" w:hAnsi="Times New Roman" w:hint="eastAsia"/>
                <w:sz w:val="32"/>
                <w:szCs w:val="32"/>
              </w:rPr>
              <w:t>3000</w:t>
            </w:r>
            <w:r>
              <w:rPr>
                <w:rFonts w:ascii="仿宋_GB2312" w:eastAsia="仿宋_GB2312" w:hAnsi="Times New Roman" w:hint="eastAsia"/>
                <w:sz w:val="32"/>
                <w:szCs w:val="32"/>
              </w:rPr>
              <w:t>元</w:t>
            </w:r>
          </w:p>
        </w:tc>
      </w:tr>
      <w:tr w:rsidR="00F7327C">
        <w:trPr>
          <w:jc w:val="center"/>
        </w:trPr>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乙方系统维护不到位导致甲方被上级部门通报</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每次违约金为合同总额</w:t>
            </w:r>
            <w:r>
              <w:rPr>
                <w:rFonts w:ascii="仿宋_GB2312" w:eastAsia="仿宋_GB2312" w:hAnsi="Times New Roman" w:hint="eastAsia"/>
                <w:sz w:val="32"/>
                <w:szCs w:val="32"/>
                <w:lang w:eastAsia="zh-CN"/>
              </w:rPr>
              <w:t>3%</w:t>
            </w:r>
          </w:p>
        </w:tc>
      </w:tr>
      <w:tr w:rsidR="00F7327C">
        <w:trPr>
          <w:jc w:val="center"/>
        </w:trPr>
        <w:tc>
          <w:tcPr>
            <w:tcW w:w="3685"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乙方泄露甲方商业秘密或患者数据、检验结果</w:t>
            </w:r>
          </w:p>
        </w:tc>
        <w:tc>
          <w:tcPr>
            <w:tcW w:w="4932" w:type="dxa"/>
          </w:tcPr>
          <w:p w:rsidR="00F7327C" w:rsidRDefault="00083DE9">
            <w:pPr>
              <w:spacing w:after="0" w:line="560" w:lineRule="exact"/>
              <w:rPr>
                <w:rFonts w:ascii="仿宋_GB2312" w:eastAsia="仿宋_GB2312"/>
                <w:sz w:val="32"/>
                <w:szCs w:val="32"/>
                <w:lang w:eastAsia="zh-CN"/>
              </w:rPr>
            </w:pPr>
            <w:r>
              <w:rPr>
                <w:rFonts w:ascii="仿宋_GB2312" w:eastAsia="仿宋_GB2312" w:hAnsi="Times New Roman" w:hint="eastAsia"/>
                <w:sz w:val="32"/>
                <w:szCs w:val="32"/>
                <w:lang w:eastAsia="zh-CN"/>
              </w:rPr>
              <w:t>违约金为合同总额</w:t>
            </w:r>
            <w:r>
              <w:rPr>
                <w:rFonts w:ascii="仿宋_GB2312" w:eastAsia="仿宋_GB2312" w:hAnsi="Times New Roman" w:hint="eastAsia"/>
                <w:sz w:val="32"/>
                <w:szCs w:val="32"/>
                <w:lang w:eastAsia="zh-CN"/>
              </w:rPr>
              <w:t>10%</w:t>
            </w:r>
            <w:r>
              <w:rPr>
                <w:rFonts w:ascii="仿宋_GB2312" w:eastAsia="仿宋_GB2312" w:hAnsi="Times New Roman" w:hint="eastAsia"/>
                <w:sz w:val="32"/>
                <w:szCs w:val="32"/>
                <w:lang w:eastAsia="zh-CN"/>
              </w:rPr>
              <w:t>，并承担法律责任</w:t>
            </w:r>
          </w:p>
        </w:tc>
      </w:tr>
    </w:tbl>
    <w:p w:rsidR="00F7327C" w:rsidRDefault="00083DE9">
      <w:pPr>
        <w:spacing w:line="560" w:lineRule="exact"/>
        <w:ind w:firstLineChars="200" w:firstLine="640"/>
        <w:rPr>
          <w:rFonts w:ascii="黑体" w:eastAsia="黑体" w:hAnsi="黑体"/>
          <w:sz w:val="32"/>
          <w:szCs w:val="32"/>
          <w:lang w:eastAsia="zh-CN"/>
        </w:rPr>
      </w:pPr>
      <w:r>
        <w:rPr>
          <w:rFonts w:ascii="黑体" w:eastAsia="黑体" w:hAnsi="黑体" w:hint="eastAsia"/>
          <w:sz w:val="32"/>
          <w:szCs w:val="32"/>
          <w:lang w:eastAsia="zh-CN"/>
        </w:rPr>
        <w:t>九、其他保留条款</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1. </w:t>
      </w:r>
      <w:r>
        <w:rPr>
          <w:rFonts w:ascii="仿宋_GB2312" w:eastAsia="仿宋_GB2312" w:hAnsi="Times New Roman" w:hint="eastAsia"/>
          <w:sz w:val="32"/>
          <w:szCs w:val="32"/>
          <w:lang w:eastAsia="zh-CN"/>
        </w:rPr>
        <w:t>知识产权：服务过程中产生的技术文档、操作手册、培训材料等成果知识产权归甲方乙双方共同所有。</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2. </w:t>
      </w:r>
      <w:r>
        <w:rPr>
          <w:rFonts w:ascii="仿宋_GB2312" w:eastAsia="仿宋_GB2312" w:hAnsi="Times New Roman" w:hint="eastAsia"/>
          <w:sz w:val="32"/>
          <w:szCs w:val="32"/>
          <w:lang w:eastAsia="zh-CN"/>
        </w:rPr>
        <w:t>保密约定：乙方须对医院业务数据、患者信息、检验结果等严格保密，签订保密协议，不得泄露或用于其他商业目的。保密期限自合同生效之日起至合同终止后</w:t>
      </w:r>
      <w:r>
        <w:rPr>
          <w:rFonts w:ascii="仿宋_GB2312" w:eastAsia="仿宋_GB2312" w:hAnsi="Times New Roman" w:hint="eastAsia"/>
          <w:sz w:val="32"/>
          <w:szCs w:val="32"/>
          <w:lang w:eastAsia="zh-CN"/>
        </w:rPr>
        <w:t>5</w:t>
      </w:r>
      <w:r>
        <w:rPr>
          <w:rFonts w:ascii="仿宋_GB2312" w:eastAsia="仿宋_GB2312" w:hAnsi="Times New Roman" w:hint="eastAsia"/>
          <w:sz w:val="32"/>
          <w:szCs w:val="32"/>
          <w:lang w:eastAsia="zh-CN"/>
        </w:rPr>
        <w:t>年止；涉及国家秘密、患者个人隐私及核心业务数据、系统漏洞等敏感信息的，按相关法律法规规定的期限执行。乙方所有参与本项目的服务人员须与乙方签订保密承诺，乙方对人员泄密行为承担连带责任。</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3. </w:t>
      </w:r>
      <w:r>
        <w:rPr>
          <w:rFonts w:ascii="仿宋_GB2312" w:eastAsia="仿宋_GB2312" w:hAnsi="Times New Roman" w:hint="eastAsia"/>
          <w:sz w:val="32"/>
          <w:szCs w:val="32"/>
          <w:lang w:eastAsia="zh-CN"/>
        </w:rPr>
        <w:t>廉洁协议：双方不得以任何形式向第三方泄露本项目的经济、技术及其他非公开信息；不从事商业贿赂行为。甲方发现乙方有违反廉洁协议或相关规定采用不正当手段进行不正当</w:t>
      </w:r>
      <w:r>
        <w:rPr>
          <w:rFonts w:ascii="仿宋_GB2312" w:eastAsia="仿宋_GB2312" w:hAnsi="Times New Roman" w:hint="eastAsia"/>
          <w:sz w:val="32"/>
          <w:szCs w:val="32"/>
          <w:lang w:eastAsia="zh-CN"/>
        </w:rPr>
        <w:lastRenderedPageBreak/>
        <w:t>竞争行为的，或被有关部门</w:t>
      </w:r>
      <w:r>
        <w:rPr>
          <w:rFonts w:ascii="仿宋_GB2312" w:eastAsia="仿宋_GB2312" w:hAnsi="Times New Roman" w:hint="eastAsia"/>
          <w:sz w:val="32"/>
          <w:szCs w:val="32"/>
          <w:lang w:eastAsia="zh-CN"/>
        </w:rPr>
        <w:t>生效文书认定有行贿或者受贿行为的，甲方有权解除该业务合同，由此给甲方造成的损失以及发生的一切费用均由乙方承担，甲方有权对乙方实施商业贿赂不良记录，列入“黑名单”，并三年内取消其业务往来资格。</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4. </w:t>
      </w:r>
      <w:r>
        <w:rPr>
          <w:rFonts w:ascii="仿宋_GB2312" w:eastAsia="仿宋_GB2312" w:hAnsi="Times New Roman" w:hint="eastAsia"/>
          <w:sz w:val="32"/>
          <w:szCs w:val="32"/>
          <w:lang w:eastAsia="zh-CN"/>
        </w:rPr>
        <w:t>不可抗力：战争、地震、台风、水灾、火灾、雷击、疫情、罢工以及其他人力不可抗拒的因素。因不可抗力造成的项目延误，双方不承担责任。</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5. </w:t>
      </w:r>
      <w:r>
        <w:rPr>
          <w:rFonts w:ascii="仿宋_GB2312" w:eastAsia="仿宋_GB2312" w:hAnsi="Times New Roman" w:hint="eastAsia"/>
          <w:sz w:val="32"/>
          <w:szCs w:val="32"/>
          <w:lang w:eastAsia="zh-CN"/>
        </w:rPr>
        <w:t>争议解决：向甲方所在地有管辖权的人民法院提请诉讼。</w:t>
      </w:r>
    </w:p>
    <w:p w:rsidR="00F7327C" w:rsidRDefault="00083DE9">
      <w:pPr>
        <w:spacing w:line="560" w:lineRule="exact"/>
        <w:ind w:firstLineChars="200" w:firstLine="640"/>
        <w:rPr>
          <w:rFonts w:ascii="黑体" w:eastAsia="黑体" w:hAnsi="黑体"/>
          <w:color w:val="000000" w:themeColor="text1"/>
          <w:sz w:val="32"/>
          <w:szCs w:val="32"/>
          <w:lang w:eastAsia="zh-CN"/>
        </w:rPr>
      </w:pPr>
      <w:r>
        <w:rPr>
          <w:rFonts w:ascii="黑体" w:eastAsia="黑体" w:hAnsi="黑体" w:hint="eastAsia"/>
          <w:color w:val="000000" w:themeColor="text1"/>
          <w:sz w:val="32"/>
          <w:szCs w:val="32"/>
          <w:lang w:eastAsia="zh-CN"/>
        </w:rPr>
        <w:t>十、其他要求（新增检验设备联机费）</w:t>
      </w:r>
    </w:p>
    <w:p w:rsidR="00F7327C" w:rsidRDefault="00083DE9">
      <w:pPr>
        <w:spacing w:line="560" w:lineRule="exact"/>
        <w:ind w:firstLine="480"/>
        <w:rPr>
          <w:rFonts w:ascii="仿宋_GB2312" w:eastAsia="仿宋_GB2312" w:hAnsi="Times New Roman"/>
          <w:color w:val="0000FF"/>
          <w:sz w:val="32"/>
          <w:szCs w:val="32"/>
          <w:lang w:eastAsia="zh-CN"/>
        </w:rPr>
      </w:pPr>
      <w:bookmarkStart w:id="0" w:name="_GoBack"/>
      <w:bookmarkEnd w:id="0"/>
      <w:r>
        <w:rPr>
          <w:rFonts w:ascii="仿宋_GB2312" w:eastAsia="仿宋_GB2312" w:hAnsi="Times New Roman" w:hint="eastAsia"/>
          <w:color w:val="0000FF"/>
          <w:sz w:val="32"/>
          <w:szCs w:val="32"/>
          <w:lang w:eastAsia="zh-CN"/>
        </w:rPr>
        <w:t>为科学确定本项目检验设备联机费的上控价，供应商需配合提供设备联机最高限价的参考依据（如有其他合同采购价等佐证材料，请一并提供）。具体要求如下：</w:t>
      </w:r>
    </w:p>
    <w:p w:rsidR="00F7327C" w:rsidRDefault="00083DE9">
      <w:pPr>
        <w:spacing w:line="560" w:lineRule="exact"/>
        <w:ind w:firstLine="480"/>
        <w:rPr>
          <w:rFonts w:ascii="仿宋_GB2312" w:eastAsia="仿宋_GB2312" w:hAnsi="Times New Roman"/>
          <w:color w:val="0000FF"/>
          <w:sz w:val="32"/>
          <w:szCs w:val="32"/>
          <w:lang w:eastAsia="zh-CN"/>
        </w:rPr>
      </w:pPr>
      <w:r>
        <w:rPr>
          <w:rFonts w:ascii="仿宋_GB2312" w:eastAsia="仿宋_GB2312" w:hAnsi="Times New Roman" w:hint="eastAsia"/>
          <w:color w:val="0000FF"/>
          <w:sz w:val="32"/>
          <w:szCs w:val="32"/>
          <w:lang w:eastAsia="zh-CN"/>
        </w:rPr>
        <w:t>1.</w:t>
      </w:r>
      <w:r>
        <w:rPr>
          <w:rFonts w:ascii="仿宋_GB2312" w:eastAsia="仿宋_GB2312" w:hAnsi="Times New Roman" w:hint="eastAsia"/>
          <w:color w:val="0000FF"/>
          <w:sz w:val="32"/>
          <w:szCs w:val="32"/>
          <w:lang w:eastAsia="zh-CN"/>
        </w:rPr>
        <w:t>明确检验设备单工联机的最高限价；</w:t>
      </w:r>
    </w:p>
    <w:p w:rsidR="00F7327C" w:rsidRDefault="00083DE9">
      <w:pPr>
        <w:spacing w:line="560" w:lineRule="exact"/>
        <w:ind w:firstLine="480"/>
        <w:rPr>
          <w:rFonts w:ascii="仿宋_GB2312" w:eastAsia="仿宋_GB2312" w:hAnsi="Times New Roman"/>
          <w:color w:val="0000FF"/>
          <w:sz w:val="32"/>
          <w:szCs w:val="32"/>
          <w:lang w:eastAsia="zh-CN"/>
        </w:rPr>
      </w:pPr>
      <w:r>
        <w:rPr>
          <w:rFonts w:ascii="仿宋_GB2312" w:eastAsia="仿宋_GB2312" w:hAnsi="Times New Roman" w:hint="eastAsia"/>
          <w:color w:val="0000FF"/>
          <w:sz w:val="32"/>
          <w:szCs w:val="32"/>
          <w:lang w:eastAsia="zh-CN"/>
        </w:rPr>
        <w:t>2.</w:t>
      </w:r>
      <w:r>
        <w:rPr>
          <w:rFonts w:ascii="仿宋_GB2312" w:eastAsia="仿宋_GB2312" w:hAnsi="Times New Roman" w:hint="eastAsia"/>
          <w:color w:val="0000FF"/>
          <w:sz w:val="32"/>
          <w:szCs w:val="32"/>
          <w:lang w:eastAsia="zh-CN"/>
        </w:rPr>
        <w:t>明确检验设备双工联机的最高限价；</w:t>
      </w:r>
    </w:p>
    <w:p w:rsidR="00F7327C" w:rsidRDefault="00083DE9">
      <w:pPr>
        <w:spacing w:line="560" w:lineRule="exact"/>
        <w:ind w:firstLine="480"/>
        <w:rPr>
          <w:rFonts w:ascii="仿宋_GB2312" w:eastAsia="仿宋_GB2312" w:hAnsi="Times New Roman"/>
          <w:color w:val="0000FF"/>
          <w:sz w:val="32"/>
          <w:szCs w:val="32"/>
          <w:lang w:eastAsia="zh-CN"/>
        </w:rPr>
      </w:pPr>
      <w:r>
        <w:rPr>
          <w:rFonts w:ascii="仿宋_GB2312" w:eastAsia="仿宋_GB2312" w:hAnsi="Times New Roman" w:hint="eastAsia"/>
          <w:color w:val="0000FF"/>
          <w:sz w:val="32"/>
          <w:szCs w:val="32"/>
          <w:lang w:eastAsia="zh-CN"/>
        </w:rPr>
        <w:t>3.</w:t>
      </w:r>
      <w:r>
        <w:rPr>
          <w:rFonts w:ascii="仿宋_GB2312" w:eastAsia="仿宋_GB2312" w:hAnsi="Times New Roman" w:hint="eastAsia"/>
          <w:color w:val="0000FF"/>
          <w:sz w:val="32"/>
          <w:szCs w:val="32"/>
          <w:lang w:eastAsia="zh-CN"/>
        </w:rPr>
        <w:t>上述费用为含税费全包价格，“单工、双工”的界定以设备通讯方式为准，签订合同时可在合同中进一步明确。</w:t>
      </w:r>
    </w:p>
    <w:p w:rsidR="00F7327C" w:rsidRDefault="00083DE9">
      <w:pPr>
        <w:spacing w:line="560" w:lineRule="exact"/>
        <w:ind w:firstLineChars="200" w:firstLine="640"/>
        <w:rPr>
          <w:rFonts w:ascii="黑体" w:eastAsia="黑体" w:hAnsi="黑体"/>
          <w:sz w:val="32"/>
          <w:szCs w:val="32"/>
          <w:lang w:eastAsia="zh-CN"/>
        </w:rPr>
      </w:pPr>
      <w:r>
        <w:rPr>
          <w:rFonts w:ascii="黑体" w:eastAsia="黑体" w:hAnsi="黑体" w:hint="eastAsia"/>
          <w:sz w:val="32"/>
          <w:szCs w:val="32"/>
          <w:lang w:eastAsia="zh-CN"/>
        </w:rPr>
        <w:t>十一、报价不含范围（明确）</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以下费用不在本合同范围内，由医院另行承担：</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1. </w:t>
      </w:r>
      <w:r>
        <w:rPr>
          <w:rFonts w:ascii="仿宋_GB2312" w:eastAsia="仿宋_GB2312" w:hAnsi="Times New Roman" w:hint="eastAsia"/>
          <w:sz w:val="32"/>
          <w:szCs w:val="32"/>
          <w:lang w:eastAsia="zh-CN"/>
        </w:rPr>
        <w:t>新增功能模块开发、系统重构等超出运维范围的改造费用；</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lastRenderedPageBreak/>
        <w:t>2. HIS</w:t>
      </w:r>
      <w:r>
        <w:rPr>
          <w:rFonts w:ascii="仿宋_GB2312" w:eastAsia="仿宋_GB2312" w:hAnsi="Times New Roman" w:hint="eastAsia"/>
          <w:sz w:val="32"/>
          <w:szCs w:val="32"/>
          <w:lang w:eastAsia="zh-CN"/>
        </w:rPr>
        <w:t>系统等第三方系统的改造费用（乙方仅承担接口适配配合义务）；</w:t>
      </w:r>
    </w:p>
    <w:p w:rsidR="00F7327C" w:rsidRDefault="00083DE9">
      <w:pPr>
        <w:spacing w:line="560" w:lineRule="exact"/>
        <w:ind w:firstLine="480"/>
        <w:rPr>
          <w:rFonts w:ascii="仿宋_GB2312" w:eastAsia="仿宋_GB2312"/>
          <w:sz w:val="32"/>
          <w:szCs w:val="32"/>
          <w:lang w:eastAsia="zh-CN"/>
        </w:rPr>
      </w:pPr>
      <w:r>
        <w:rPr>
          <w:rFonts w:ascii="仿宋_GB2312" w:eastAsia="仿宋_GB2312" w:hAnsi="Times New Roman" w:hint="eastAsia"/>
          <w:sz w:val="32"/>
          <w:szCs w:val="32"/>
          <w:lang w:eastAsia="zh-CN"/>
        </w:rPr>
        <w:t xml:space="preserve">3. </w:t>
      </w:r>
      <w:r>
        <w:rPr>
          <w:rFonts w:ascii="仿宋_GB2312" w:eastAsia="仿宋_GB2312" w:hAnsi="Times New Roman" w:hint="eastAsia"/>
          <w:sz w:val="32"/>
          <w:szCs w:val="32"/>
          <w:lang w:eastAsia="zh-CN"/>
        </w:rPr>
        <w:t>服务器、检验仪器等硬件设备的维修更换费用；</w:t>
      </w:r>
    </w:p>
    <w:p w:rsidR="00F7327C" w:rsidRDefault="00083DE9">
      <w:pPr>
        <w:spacing w:line="560" w:lineRule="exact"/>
        <w:ind w:firstLine="480"/>
        <w:rPr>
          <w:rFonts w:ascii="仿宋_GB2312" w:eastAsia="仿宋_GB2312"/>
          <w:color w:val="000000" w:themeColor="text1"/>
          <w:sz w:val="32"/>
          <w:szCs w:val="32"/>
          <w:lang w:eastAsia="zh-CN"/>
        </w:rPr>
      </w:pPr>
      <w:r>
        <w:rPr>
          <w:rFonts w:ascii="仿宋_GB2312" w:eastAsia="仿宋_GB2312" w:hAnsi="Times New Roman" w:hint="eastAsia"/>
          <w:color w:val="000000" w:themeColor="text1"/>
          <w:sz w:val="32"/>
          <w:szCs w:val="32"/>
          <w:lang w:eastAsia="zh-CN"/>
        </w:rPr>
        <w:t xml:space="preserve">4. </w:t>
      </w:r>
      <w:r>
        <w:rPr>
          <w:rFonts w:ascii="仿宋_GB2312" w:eastAsia="仿宋_GB2312" w:hAnsi="Times New Roman" w:hint="eastAsia"/>
          <w:color w:val="000000" w:themeColor="text1"/>
          <w:sz w:val="32"/>
          <w:szCs w:val="32"/>
          <w:lang w:eastAsia="zh-CN"/>
        </w:rPr>
        <w:t>新增检验设备联机对接费用（按本需求“十、其他要求”约定的上限标准另行结算）。</w:t>
      </w:r>
    </w:p>
    <w:sectPr w:rsidR="00F7327C">
      <w:pgSz w:w="11906" w:h="16838"/>
      <w:pgMar w:top="1701" w:right="1474" w:bottom="1417" w:left="158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DE9" w:rsidRDefault="00083DE9">
      <w:pPr>
        <w:spacing w:line="240" w:lineRule="auto"/>
      </w:pPr>
      <w:r>
        <w:separator/>
      </w:r>
    </w:p>
  </w:endnote>
  <w:endnote w:type="continuationSeparator" w:id="0">
    <w:p w:rsidR="00083DE9" w:rsidRDefault="00083D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DE9" w:rsidRDefault="00083DE9">
      <w:pPr>
        <w:spacing w:after="0"/>
      </w:pPr>
      <w:r>
        <w:separator/>
      </w:r>
    </w:p>
  </w:footnote>
  <w:footnote w:type="continuationSeparator" w:id="0">
    <w:p w:rsidR="00083DE9" w:rsidRDefault="00083DE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nsid w:val="FFFFFF7F"/>
    <w:multiLevelType w:val="singleLevel"/>
    <w:tmpl w:val="FFFFFF7F"/>
    <w:lvl w:ilvl="0">
      <w:start w:val="1"/>
      <w:numFmt w:val="decimal"/>
      <w:pStyle w:val="2"/>
      <w:lvlText w:val="%1."/>
      <w:lvlJc w:val="left"/>
      <w:pPr>
        <w:tabs>
          <w:tab w:val="left" w:pos="720"/>
        </w:tabs>
        <w:ind w:left="720" w:hanging="360"/>
      </w:pPr>
    </w:lvl>
  </w:abstractNum>
  <w:abstractNum w:abstractNumId="2">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a"/>
      <w:lvlText w:val="%1."/>
      <w:lvlJc w:val="left"/>
      <w:pPr>
        <w:tabs>
          <w:tab w:val="left" w:pos="360"/>
        </w:tabs>
        <w:ind w:left="360" w:hanging="360"/>
      </w:pPr>
    </w:lvl>
  </w:abstractNum>
  <w:abstractNum w:abstractNumId="5">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DE9"/>
    <w:rsid w:val="0015074B"/>
    <w:rsid w:val="001F0A23"/>
    <w:rsid w:val="0029639D"/>
    <w:rsid w:val="00326F90"/>
    <w:rsid w:val="005B426D"/>
    <w:rsid w:val="00937F0D"/>
    <w:rsid w:val="00AA1D8D"/>
    <w:rsid w:val="00B47730"/>
    <w:rsid w:val="00CB0664"/>
    <w:rsid w:val="00E22979"/>
    <w:rsid w:val="00F7327C"/>
    <w:rsid w:val="00FC693F"/>
    <w:rsid w:val="0B9C30A5"/>
    <w:rsid w:val="48F517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87317AD-8770-43E7-8417-950427C0A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qFormat="1"/>
    <w:lsdException w:name="List Bullet" w:unhideWhenUsed="1"/>
    <w:lsdException w:name="List Number" w:unhideWhenUsed="1"/>
    <w:lsdException w:name="List 2" w:unhideWhenUsed="1" w:qFormat="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qFormat="1"/>
    <w:lsdException w:name="List Continue 2" w:unhideWhenUsed="1" w:qFormat="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qFormat="1"/>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qFormat="1"/>
    <w:lsdException w:name="Light Grid Accent 2" w:uiPriority="62"/>
    <w:lsdException w:name="Medium Shading 1 Accent 2" w:uiPriority="63" w:qFormat="1"/>
    <w:lsdException w:name="Medium Shading 2 Accent 2" w:uiPriority="64" w:qFormat="1"/>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qFormat="1"/>
    <w:lsdException w:name="Medium Shading 1 Accent 3" w:uiPriority="63"/>
    <w:lsdException w:name="Medium Shading 2 Accent 3" w:uiPriority="64" w:qFormat="1"/>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qFormat="1"/>
    <w:lsdException w:name="Light Grid Accent 4" w:uiPriority="62"/>
    <w:lsdException w:name="Medium Shading 1 Accent 4" w:uiPriority="63"/>
    <w:lsdException w:name="Medium Shading 2 Accent 4" w:uiPriority="64" w:qFormat="1"/>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qFormat="1"/>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qFormat="1"/>
    <w:lsdException w:name="Medium Shading 1 Accent 6" w:uiPriority="63"/>
    <w:lsdException w:name="Medium Shading 2 Accent 6" w:uiPriority="64" w:qFormat="1"/>
    <w:lsdException w:name="Medium List 1 Accent 6" w:uiPriority="65"/>
    <w:lsdException w:name="Medium List 2 Accent 6" w:uiPriority="66" w:qFormat="1"/>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rFonts w:asciiTheme="minorHAnsi" w:eastAsiaTheme="minorEastAsia" w:hAnsiTheme="minorHAnsi" w:cstheme="minorBidi"/>
      <w:sz w:val="22"/>
      <w:szCs w:val="22"/>
      <w:lang w:eastAsia="en-US"/>
    </w:rPr>
  </w:style>
  <w:style w:type="paragraph" w:styleId="1">
    <w:name w:val="heading 1"/>
    <w:basedOn w:val="a1"/>
    <w:next w:val="a1"/>
    <w:link w:val="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2">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6">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3">
    <w:name w:val="Body Text 3"/>
    <w:basedOn w:val="a1"/>
    <w:link w:val="3Char0"/>
    <w:uiPriority w:val="99"/>
    <w:unhideWhenUsed/>
    <w:qFormat/>
    <w:pPr>
      <w:spacing w:after="120"/>
    </w:pPr>
    <w:rPr>
      <w:sz w:val="16"/>
      <w:szCs w:val="16"/>
    </w:rPr>
  </w:style>
  <w:style w:type="paragraph" w:styleId="30">
    <w:name w:val="List Bullet 3"/>
    <w:basedOn w:val="a1"/>
    <w:uiPriority w:val="99"/>
    <w:unhideWhenUsed/>
    <w:pPr>
      <w:numPr>
        <w:numId w:val="4"/>
      </w:numPr>
      <w:contextualSpacing/>
    </w:pPr>
  </w:style>
  <w:style w:type="paragraph" w:styleId="a7">
    <w:name w:val="Body Text"/>
    <w:basedOn w:val="a1"/>
    <w:link w:val="Char0"/>
    <w:uiPriority w:val="99"/>
    <w:unhideWhenUsed/>
    <w:pPr>
      <w:spacing w:after="120"/>
    </w:pPr>
  </w:style>
  <w:style w:type="paragraph" w:styleId="3">
    <w:name w:val="List Number 3"/>
    <w:basedOn w:val="a1"/>
    <w:uiPriority w:val="99"/>
    <w:unhideWhenUsed/>
    <w:pPr>
      <w:numPr>
        <w:numId w:val="5"/>
      </w:numPr>
      <w:contextualSpacing/>
    </w:pPr>
  </w:style>
  <w:style w:type="paragraph" w:styleId="22">
    <w:name w:val="List 2"/>
    <w:basedOn w:val="a1"/>
    <w:uiPriority w:val="99"/>
    <w:unhideWhenUsed/>
    <w:qFormat/>
    <w:pPr>
      <w:ind w:left="720" w:hanging="360"/>
      <w:contextualSpacing/>
    </w:pPr>
  </w:style>
  <w:style w:type="paragraph" w:styleId="a8">
    <w:name w:val="List Continue"/>
    <w:basedOn w:val="a1"/>
    <w:uiPriority w:val="99"/>
    <w:unhideWhenUsed/>
    <w:qFormat/>
    <w:pPr>
      <w:spacing w:after="120"/>
      <w:ind w:left="360"/>
      <w:contextualSpacing/>
    </w:pPr>
  </w:style>
  <w:style w:type="paragraph" w:styleId="20">
    <w:name w:val="List Bullet 2"/>
    <w:basedOn w:val="a1"/>
    <w:uiPriority w:val="99"/>
    <w:unhideWhenUsed/>
    <w:pPr>
      <w:numPr>
        <w:numId w:val="6"/>
      </w:numPr>
      <w:contextualSpacing/>
    </w:pPr>
  </w:style>
  <w:style w:type="paragraph" w:styleId="a9">
    <w:name w:val="footer"/>
    <w:basedOn w:val="a1"/>
    <w:link w:val="Char1"/>
    <w:uiPriority w:val="99"/>
    <w:unhideWhenUsed/>
    <w:pPr>
      <w:tabs>
        <w:tab w:val="center" w:pos="4680"/>
        <w:tab w:val="right" w:pos="9360"/>
      </w:tabs>
      <w:spacing w:after="0" w:line="240" w:lineRule="auto"/>
    </w:pPr>
  </w:style>
  <w:style w:type="paragraph" w:styleId="aa">
    <w:name w:val="header"/>
    <w:basedOn w:val="a1"/>
    <w:link w:val="Char2"/>
    <w:uiPriority w:val="99"/>
    <w:unhideWhenUsed/>
    <w:pPr>
      <w:tabs>
        <w:tab w:val="center" w:pos="4680"/>
        <w:tab w:val="right" w:pos="9360"/>
      </w:tabs>
      <w:spacing w:after="0" w:line="240" w:lineRule="auto"/>
    </w:pPr>
  </w:style>
  <w:style w:type="paragraph" w:styleId="ab">
    <w:name w:val="Subtitle"/>
    <w:basedOn w:val="a1"/>
    <w:next w:val="a1"/>
    <w:link w:val="Char3"/>
    <w:uiPriority w:val="11"/>
    <w:qFormat/>
    <w:rPr>
      <w:rFonts w:asciiTheme="majorHAnsi" w:eastAsiaTheme="majorEastAsia" w:hAnsiTheme="majorHAnsi" w:cstheme="majorBidi"/>
      <w:i/>
      <w:iCs/>
      <w:color w:val="4F81BD" w:themeColor="accent1"/>
      <w:spacing w:val="15"/>
      <w:sz w:val="24"/>
      <w:szCs w:val="24"/>
    </w:rPr>
  </w:style>
  <w:style w:type="paragraph" w:styleId="ac">
    <w:name w:val="List"/>
    <w:basedOn w:val="a1"/>
    <w:uiPriority w:val="99"/>
    <w:unhideWhenUsed/>
    <w:qFormat/>
    <w:pPr>
      <w:ind w:left="360" w:hanging="360"/>
      <w:contextualSpacing/>
    </w:pPr>
  </w:style>
  <w:style w:type="paragraph" w:styleId="23">
    <w:name w:val="Body Text 2"/>
    <w:basedOn w:val="a1"/>
    <w:link w:val="2Char0"/>
    <w:uiPriority w:val="99"/>
    <w:unhideWhenUsed/>
    <w:qFormat/>
    <w:pPr>
      <w:spacing w:after="120" w:line="480" w:lineRule="auto"/>
    </w:pPr>
  </w:style>
  <w:style w:type="paragraph" w:styleId="24">
    <w:name w:val="List Continue 2"/>
    <w:basedOn w:val="a1"/>
    <w:uiPriority w:val="99"/>
    <w:unhideWhenUsed/>
    <w:qFormat/>
    <w:pPr>
      <w:spacing w:after="120"/>
      <w:ind w:left="720"/>
      <w:contextualSpacing/>
    </w:pPr>
  </w:style>
  <w:style w:type="paragraph" w:styleId="34">
    <w:name w:val="List Continue 3"/>
    <w:basedOn w:val="a1"/>
    <w:uiPriority w:val="99"/>
    <w:unhideWhenUsed/>
    <w:pPr>
      <w:spacing w:after="120"/>
      <w:ind w:left="1080"/>
      <w:contextualSpacing/>
    </w:pPr>
  </w:style>
  <w:style w:type="paragraph" w:styleId="ad">
    <w:name w:val="Title"/>
    <w:basedOn w:val="a1"/>
    <w:next w:val="a1"/>
    <w:link w:val="Char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e">
    <w:name w:val="Table Grid"/>
    <w:basedOn w:val="a3"/>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
    <w:name w:val="Light Shading"/>
    <w:basedOn w:val="a3"/>
    <w:uiPriority w:val="60"/>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0">
    <w:name w:val="Light List"/>
    <w:basedOn w:val="a3"/>
    <w:uiPriority w:val="61"/>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1">
    <w:name w:val="Light Grid"/>
    <w:basedOn w:val="a3"/>
    <w:uiPriority w:val="62"/>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0">
    <w:name w:val="Medium Shading 1"/>
    <w:basedOn w:val="a3"/>
    <w:uiPriority w:val="63"/>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Pr>
      <w:color w:val="000000" w:themeColor="text1"/>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qFormat/>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2">
    <w:name w:val="Dark List"/>
    <w:basedOn w:val="a3"/>
    <w:uiPriority w:val="70"/>
    <w:rPr>
      <w:color w:val="FFFFFF" w:themeColor="background1"/>
    </w:rPr>
    <w:tblPr>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3">
    <w:name w:val="Colorful Shading"/>
    <w:basedOn w:val="a3"/>
    <w:uiPriority w:val="71"/>
    <w:rPr>
      <w:color w:val="000000" w:themeColor="text1"/>
    </w:rPr>
    <w:tblPr>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4">
    <w:name w:val="Colorful List"/>
    <w:basedOn w:val="a3"/>
    <w:uiPriority w:val="72"/>
    <w:rPr>
      <w:color w:val="000000" w:themeColor="text1"/>
    </w:rPr>
    <w:tblPr>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5">
    <w:name w:val="Colorful Grid"/>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6">
    <w:name w:val="Strong"/>
    <w:basedOn w:val="a2"/>
    <w:uiPriority w:val="22"/>
    <w:qFormat/>
    <w:rPr>
      <w:b/>
      <w:bCs/>
    </w:rPr>
  </w:style>
  <w:style w:type="character" w:styleId="af7">
    <w:name w:val="Emphasis"/>
    <w:basedOn w:val="a2"/>
    <w:uiPriority w:val="20"/>
    <w:qFormat/>
    <w:rPr>
      <w:i/>
      <w:iCs/>
    </w:rPr>
  </w:style>
  <w:style w:type="character" w:customStyle="1" w:styleId="Char2">
    <w:name w:val="页眉 Char"/>
    <w:basedOn w:val="a2"/>
    <w:link w:val="aa"/>
    <w:uiPriority w:val="99"/>
  </w:style>
  <w:style w:type="character" w:customStyle="1" w:styleId="Char1">
    <w:name w:val="页脚 Char"/>
    <w:basedOn w:val="a2"/>
    <w:link w:val="a9"/>
    <w:uiPriority w:val="99"/>
  </w:style>
  <w:style w:type="paragraph" w:styleId="af8">
    <w:name w:val="No Spacing"/>
    <w:uiPriority w:val="1"/>
    <w:qFormat/>
    <w:rPr>
      <w:rFonts w:asciiTheme="minorHAnsi" w:eastAsiaTheme="minorEastAsia" w:hAnsiTheme="minorHAnsi" w:cstheme="minorBidi"/>
      <w:sz w:val="22"/>
      <w:szCs w:val="22"/>
      <w:lang w:eastAsia="en-US"/>
    </w:rPr>
  </w:style>
  <w:style w:type="character" w:customStyle="1" w:styleId="1Char">
    <w:name w:val="标题 1 Char"/>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qFormat/>
    <w:rPr>
      <w:rFonts w:asciiTheme="majorHAnsi" w:eastAsiaTheme="majorEastAsia" w:hAnsiTheme="majorHAnsi" w:cstheme="majorBidi"/>
      <w:b/>
      <w:bCs/>
      <w:color w:val="4F81BD" w:themeColor="accent1"/>
    </w:rPr>
  </w:style>
  <w:style w:type="character" w:customStyle="1" w:styleId="Char4">
    <w:name w:val="标题 Char"/>
    <w:basedOn w:val="a2"/>
    <w:link w:val="ad"/>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Char3">
    <w:name w:val="副标题 Char"/>
    <w:basedOn w:val="a2"/>
    <w:link w:val="ab"/>
    <w:uiPriority w:val="11"/>
    <w:qFormat/>
    <w:rPr>
      <w:rFonts w:asciiTheme="majorHAnsi" w:eastAsiaTheme="majorEastAsia" w:hAnsiTheme="majorHAnsi" w:cstheme="majorBidi"/>
      <w:i/>
      <w:iCs/>
      <w:color w:val="4F81BD" w:themeColor="accent1"/>
      <w:spacing w:val="15"/>
      <w:sz w:val="24"/>
      <w:szCs w:val="24"/>
    </w:rPr>
  </w:style>
  <w:style w:type="paragraph" w:styleId="af9">
    <w:name w:val="List Paragraph"/>
    <w:basedOn w:val="a1"/>
    <w:uiPriority w:val="34"/>
    <w:qFormat/>
    <w:pPr>
      <w:ind w:left="720"/>
      <w:contextualSpacing/>
    </w:pPr>
  </w:style>
  <w:style w:type="character" w:customStyle="1" w:styleId="Char0">
    <w:name w:val="正文文本 Char"/>
    <w:basedOn w:val="a2"/>
    <w:link w:val="a7"/>
    <w:uiPriority w:val="99"/>
    <w:qFormat/>
  </w:style>
  <w:style w:type="character" w:customStyle="1" w:styleId="2Char0">
    <w:name w:val="正文文本 2 Char"/>
    <w:basedOn w:val="a2"/>
    <w:link w:val="23"/>
    <w:uiPriority w:val="99"/>
    <w:qFormat/>
  </w:style>
  <w:style w:type="character" w:customStyle="1" w:styleId="3Char0">
    <w:name w:val="正文文本 3 Char"/>
    <w:basedOn w:val="a2"/>
    <w:link w:val="33"/>
    <w:uiPriority w:val="99"/>
    <w:qFormat/>
    <w:rPr>
      <w:sz w:val="16"/>
      <w:szCs w:val="16"/>
    </w:rPr>
  </w:style>
  <w:style w:type="character" w:customStyle="1" w:styleId="Char">
    <w:name w:val="宏文本 Char"/>
    <w:basedOn w:val="a2"/>
    <w:link w:val="a5"/>
    <w:uiPriority w:val="99"/>
    <w:rPr>
      <w:rFonts w:ascii="Courier" w:hAnsi="Courier"/>
      <w:sz w:val="20"/>
      <w:szCs w:val="20"/>
    </w:rPr>
  </w:style>
  <w:style w:type="paragraph" w:styleId="afa">
    <w:name w:val="Quote"/>
    <w:basedOn w:val="a1"/>
    <w:next w:val="a1"/>
    <w:link w:val="Char5"/>
    <w:uiPriority w:val="29"/>
    <w:qFormat/>
    <w:rPr>
      <w:i/>
      <w:iCs/>
      <w:color w:val="000000" w:themeColor="text1"/>
    </w:rPr>
  </w:style>
  <w:style w:type="character" w:customStyle="1" w:styleId="Char5">
    <w:name w:val="引用 Char"/>
    <w:basedOn w:val="a2"/>
    <w:link w:val="afa"/>
    <w:uiPriority w:val="29"/>
    <w:rPr>
      <w:i/>
      <w:iCs/>
      <w:color w:val="000000" w:themeColor="text1"/>
    </w:rPr>
  </w:style>
  <w:style w:type="character" w:customStyle="1" w:styleId="4Char">
    <w:name w:val="标题 4 Char"/>
    <w:basedOn w:val="a2"/>
    <w:link w:val="4"/>
    <w:uiPriority w:val="9"/>
    <w:semiHidden/>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rPr>
      <w:rFonts w:asciiTheme="majorHAnsi" w:eastAsiaTheme="majorEastAsia" w:hAnsiTheme="majorHAnsi" w:cstheme="majorBidi"/>
      <w:color w:val="244061" w:themeColor="accent1" w:themeShade="80"/>
    </w:rPr>
  </w:style>
  <w:style w:type="character" w:customStyle="1" w:styleId="6Char">
    <w:name w:val="标题 6 Char"/>
    <w:basedOn w:val="a2"/>
    <w:link w:val="6"/>
    <w:uiPriority w:val="9"/>
    <w:semiHidden/>
    <w:rPr>
      <w:rFonts w:asciiTheme="majorHAnsi" w:eastAsiaTheme="majorEastAsia" w:hAnsiTheme="majorHAnsi" w:cstheme="majorBidi"/>
      <w:i/>
      <w:iCs/>
      <w:color w:val="244061" w:themeColor="accent1" w:themeShade="80"/>
    </w:rPr>
  </w:style>
  <w:style w:type="character" w:customStyle="1" w:styleId="7Char">
    <w:name w:val="标题 7 Char"/>
    <w:basedOn w:val="a2"/>
    <w:link w:val="7"/>
    <w:uiPriority w:val="9"/>
    <w:semiHidden/>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b">
    <w:name w:val="Intense Quote"/>
    <w:basedOn w:val="a1"/>
    <w:next w:val="a1"/>
    <w:link w:val="Char6"/>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b"/>
    <w:uiPriority w:val="30"/>
    <w:rPr>
      <w:b/>
      <w:bCs/>
      <w:i/>
      <w:iCs/>
      <w:color w:val="4F81BD" w:themeColor="accent1"/>
    </w:rPr>
  </w:style>
  <w:style w:type="character" w:customStyle="1" w:styleId="13">
    <w:name w:val="不明显强调1"/>
    <w:basedOn w:val="a2"/>
    <w:uiPriority w:val="19"/>
    <w:qFormat/>
    <w:rPr>
      <w:i/>
      <w:iCs/>
      <w:color w:val="7F7F7F" w:themeColor="text1" w:themeTint="80"/>
    </w:rPr>
  </w:style>
  <w:style w:type="character" w:customStyle="1" w:styleId="14">
    <w:name w:val="明显强调1"/>
    <w:basedOn w:val="a2"/>
    <w:uiPriority w:val="21"/>
    <w:qFormat/>
    <w:rPr>
      <w:b/>
      <w:bCs/>
      <w:i/>
      <w:iCs/>
      <w:color w:val="4F81BD" w:themeColor="accent1"/>
    </w:rPr>
  </w:style>
  <w:style w:type="character" w:customStyle="1" w:styleId="15">
    <w:name w:val="不明显参考1"/>
    <w:basedOn w:val="a2"/>
    <w:uiPriority w:val="31"/>
    <w:qFormat/>
    <w:rPr>
      <w:smallCaps/>
      <w:color w:val="C0504D" w:themeColor="accent2"/>
      <w:u w:val="single"/>
    </w:rPr>
  </w:style>
  <w:style w:type="character" w:customStyle="1" w:styleId="16">
    <w:name w:val="明显参考1"/>
    <w:basedOn w:val="a2"/>
    <w:uiPriority w:val="32"/>
    <w:qFormat/>
    <w:rPr>
      <w:b/>
      <w:bCs/>
      <w:smallCaps/>
      <w:color w:val="C0504D" w:themeColor="accent2"/>
      <w:spacing w:val="5"/>
      <w:u w:val="single"/>
    </w:rPr>
  </w:style>
  <w:style w:type="character" w:customStyle="1" w:styleId="17">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FC787-3E85-4BB3-97F1-2821B7ADF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845</Words>
  <Characters>4820</Characters>
  <Application>Microsoft Office Word</Application>
  <DocSecurity>0</DocSecurity>
  <Lines>40</Lines>
  <Paragraphs>11</Paragraphs>
  <ScaleCrop>false</ScaleCrop>
  <Company>Microsoft</Company>
  <LinksUpToDate>false</LinksUpToDate>
  <CharactersWithSpaces>5654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China</cp:lastModifiedBy>
  <cp:revision>4</cp:revision>
  <dcterms:created xsi:type="dcterms:W3CDTF">2013-12-23T23:15:00Z</dcterms:created>
  <dcterms:modified xsi:type="dcterms:W3CDTF">2026-10-19T07:10:00Z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39C6D18A0D47458FA031305E2939C34D_13</vt:lpwstr>
  </property>
</Properties>
</file>