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2EB9E">
      <w:pPr>
        <w:widowControl/>
        <w:spacing w:after="0" w:line="560" w:lineRule="exact"/>
        <w:ind w:firstLine="0"/>
        <w:jc w:val="center"/>
        <w:rPr>
          <w:rFonts w:hint="eastAsia" w:ascii="方正小标宋简体" w:hAnsi="方正小标宋简体" w:eastAsia="方正小标宋简体"/>
          <w:kern w:val="0"/>
          <w:sz w:val="44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/>
          <w:kern w:val="0"/>
          <w:sz w:val="44"/>
          <w:szCs w:val="22"/>
          <w:lang w:val="en-US" w:eastAsia="zh-CN"/>
        </w:rPr>
        <w:t>南宁市武鸣区中医医院</w:t>
      </w:r>
    </w:p>
    <w:p w14:paraId="4DBE0281">
      <w:pPr>
        <w:widowControl/>
        <w:spacing w:after="0" w:line="560" w:lineRule="exact"/>
        <w:ind w:firstLine="0"/>
        <w:jc w:val="center"/>
        <w:rPr>
          <w:rFonts w:hint="eastAsia" w:ascii="方正小标宋简体" w:hAnsi="方正小标宋简体" w:eastAsia="方正小标宋简体"/>
          <w:kern w:val="0"/>
          <w:sz w:val="44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/>
          <w:kern w:val="0"/>
          <w:sz w:val="44"/>
          <w:szCs w:val="22"/>
          <w:lang w:val="en-US" w:eastAsia="zh-CN"/>
        </w:rPr>
        <w:t>信息化技术运维服务采购需求</w:t>
      </w:r>
    </w:p>
    <w:p w14:paraId="67CCDE17">
      <w:pPr>
        <w:widowControl/>
        <w:spacing w:after="0" w:line="560" w:lineRule="exact"/>
        <w:ind w:firstLine="0"/>
        <w:jc w:val="left"/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</w:pPr>
    </w:p>
    <w:p w14:paraId="4E2F2D41">
      <w:pPr>
        <w:widowControl/>
        <w:spacing w:after="0" w:line="560" w:lineRule="exact"/>
        <w:ind w:firstLine="0"/>
        <w:jc w:val="left"/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  <w:t>一、项目概况</w:t>
      </w:r>
    </w:p>
    <w:p w14:paraId="079A4C61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为保障医院IT基础设施、安全、高效运行，现采购信息化技术运维服务。服务内容涵盖全院核心IT基础设施季度巡检、网络安全应急演练技术支持，由中标供应商按约定标准提供专业技术服务与交付成果。</w:t>
      </w:r>
    </w:p>
    <w:p w14:paraId="7B6C2C4D">
      <w:pPr>
        <w:widowControl/>
        <w:numPr>
          <w:ilvl w:val="0"/>
          <w:numId w:val="1"/>
        </w:numPr>
        <w:spacing w:after="0" w:line="560" w:lineRule="exact"/>
        <w:ind w:firstLine="0"/>
        <w:jc w:val="left"/>
        <w:outlineLvl w:val="0"/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  <w:t>服务内容及要求</w:t>
      </w:r>
    </w:p>
    <w:p w14:paraId="15F3E25C">
      <w:pPr>
        <w:widowControl/>
        <w:numPr>
          <w:ilvl w:val="0"/>
          <w:numId w:val="2"/>
        </w:numPr>
        <w:spacing w:after="0" w:line="560" w:lineRule="exact"/>
        <w:ind w:left="0" w:leftChars="0" w:firstLine="420" w:firstLineChars="0"/>
        <w:jc w:val="left"/>
        <w:rPr>
          <w:rFonts w:hint="eastAsia" w:ascii="楷体_GB2312" w:hAnsi="楷体_GB2312" w:eastAsia="楷体_GB2312" w:cs="楷体_GB2312"/>
          <w:b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kern w:val="0"/>
          <w:sz w:val="32"/>
          <w:szCs w:val="32"/>
          <w:lang w:eastAsia="zh-CN"/>
        </w:rPr>
        <w:t>核心季度巡检服务参数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‌</w:t>
      </w:r>
    </w:p>
    <w:p w14:paraId="5902B4C1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服务商每季度完成1次全量设备现场巡检，全年共4次全覆盖巡检，所有巡检结果全程留痕，不得出现漏检、代检情况。</w:t>
      </w:r>
    </w:p>
    <w:p w14:paraId="486AF532">
      <w:pPr>
        <w:widowControl/>
        <w:spacing w:after="0" w:line="560" w:lineRule="exact"/>
        <w:ind w:firstLine="420"/>
        <w:jc w:val="left"/>
        <w:rPr>
          <w:rFonts w:hint="eastAsia"/>
          <w:b/>
          <w:bCs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网络设备季度巡检</w:t>
      </w:r>
      <w:r>
        <w:rPr>
          <w:rFonts w:hint="eastAsia"/>
          <w:b/>
          <w:bCs/>
        </w:rPr>
        <w:t>‌</w:t>
      </w:r>
    </w:p>
    <w:p w14:paraId="729BB1ED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覆盖单位内全部交换机、路由器等网络设备，每季度现场核查：设备运行指示灯状态、CPU/内存利用率、温度状况、接口状态、日志信息、配置检查、端口流量负载、电源模块运行状态、配置文件备份，全年网络设备巡检覆盖率需达到100%。</w:t>
      </w:r>
    </w:p>
    <w:p w14:paraId="3607A91E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2.安全设备季度巡检‌</w:t>
      </w:r>
    </w:p>
    <w:p w14:paraId="6F2DB48B">
      <w:pPr>
        <w:widowControl/>
        <w:spacing w:after="0" w:line="560" w:lineRule="exact"/>
        <w:ind w:firstLine="420"/>
        <w:jc w:val="left"/>
        <w:rPr>
          <w:rFonts w:hint="default" w:eastAsiaTheme="minorEastAsia"/>
          <w:lang w:val="en-US" w:eastAsia="zh-CN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覆盖防火墙、入侵检测系统、上网行为管理、终端安全管控平台等全部安全设备，每季度现场核查：外观指示、运行状态、日志情况、主要配置界面截图、设备配置合理性、特征库病毒库有效期等。</w:t>
      </w:r>
    </w:p>
    <w:p w14:paraId="6EC16FA3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3.服务器与存储物理设备季度巡检‌</w:t>
      </w:r>
    </w:p>
    <w:p w14:paraId="3CD62B24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覆盖单位内所有物理服务器、磁盘阵列、存储交换机等硬件设施，每季度现场核查：设备物理运行温度、硬盘指示灯状态、电源与风扇模块运行状态、RAID阵列健康度、物理接口松动排查，所有硬件物理隐患需在巡检完成后24小时内反馈至采购方。</w:t>
      </w:r>
    </w:p>
    <w:p w14:paraId="5AF78F47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4.机房基础设施季度巡检‌</w:t>
      </w:r>
    </w:p>
    <w:p w14:paraId="4D582061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覆盖核心机房机柜、精密空调、UPS供电系统、环境动力监测装置、消防配套设施，每季度现场核查：甲方墙体门窗密闭</w:t>
      </w:r>
      <w:r>
        <w:rPr>
          <w:rFonts w:hint="default" w:ascii="仿宋_GB2312" w:hAnsi="仿宋_GB2312" w:eastAsia="仿宋_GB2312"/>
          <w:kern w:val="0"/>
          <w:sz w:val="32"/>
          <w:szCs w:val="32"/>
          <w:lang w:eastAsia="zh-CN" w:bidi="ar-SA"/>
        </w:rPr>
        <w:t>情况、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机房温湿度达标情况、UPS输入输出电压稳定性、空调制冷运行状态、机柜线缆规整度、消防设施在效性，巡检完成后同步更新机房资产台账。</w:t>
      </w:r>
    </w:p>
    <w:p w14:paraId="7C0643B3">
      <w:pPr>
        <w:widowControl/>
        <w:numPr>
          <w:ilvl w:val="0"/>
          <w:numId w:val="3"/>
        </w:numPr>
        <w:spacing w:after="0" w:line="560" w:lineRule="exact"/>
        <w:ind w:firstLine="420"/>
        <w:jc w:val="left"/>
        <w:outlineLvl w:val="1"/>
        <w:rPr>
          <w:rFonts w:hint="eastAsia" w:ascii="楷体_GB2312" w:hAnsi="楷体_GB2312" w:eastAsia="楷体_GB2312" w:cs="楷体_GB2312"/>
          <w:b/>
          <w:bCs w:val="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kern w:val="0"/>
          <w:sz w:val="32"/>
          <w:szCs w:val="32"/>
          <w:lang w:eastAsia="zh-CN"/>
        </w:rPr>
        <w:t>安全应急演练服务</w:t>
      </w:r>
    </w:p>
    <w:p w14:paraId="0AAD6A9A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本项为正式采购服务内容，包含在合同总价内。服务期内开展网络安全应急演练1次。</w:t>
      </w:r>
    </w:p>
    <w:p w14:paraId="75D02D58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1. 提供网络安全应急演练技术支持，制定覆盖病毒入侵、系统瘫痪、数据泄露等场景的网络安全应急处理方案。</w:t>
      </w:r>
    </w:p>
    <w:p w14:paraId="2FF9FAA8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2. 提供标准化操作指南，涵盖发现告警、上报研判、隔离受感染设备、切断风险链路、启动应急预案保障核心业务运行、溯源排查、处置修复、系统恢复、记录复盘全流程。</w:t>
      </w:r>
    </w:p>
    <w:p w14:paraId="736D0526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3. 配合医院开展应急演练实操指导，提升人员应急处置能力，防范网络安全风险。</w:t>
      </w:r>
    </w:p>
    <w:p w14:paraId="2CFD5A26">
      <w:pPr>
        <w:widowControl/>
        <w:numPr>
          <w:ilvl w:val="0"/>
          <w:numId w:val="1"/>
        </w:numPr>
        <w:spacing w:after="0" w:line="560" w:lineRule="exact"/>
        <w:ind w:firstLine="0"/>
        <w:jc w:val="left"/>
        <w:outlineLvl w:val="0"/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  <w:t>基本服务要求</w:t>
      </w:r>
    </w:p>
    <w:p w14:paraId="7DCD45E8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1.季度巡检每季度开展1次，全年共4次，巡检完成后5个工作日内提交全部交付成果；安全应急演练服务期内开展1次。</w:t>
      </w:r>
    </w:p>
    <w:p w14:paraId="4EAF6D80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2.提供5×8小时技术热线支持，紧急故障事件30分钟内响应，远程协助排查处置。</w:t>
      </w:r>
    </w:p>
    <w:p w14:paraId="64D2987F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3.安排固定项目对接人，负责服务统筹与日常沟通，人员变动需提前书面告知。</w:t>
      </w:r>
    </w:p>
    <w:p w14:paraId="40F1F1AB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4.所有参与运维服务的人员需签订保密协议，运维过程中接触的所有单位设备信息、网络拓扑、业务数据不得对外泄露，符合政务信息安全保密相关规定。</w:t>
      </w:r>
    </w:p>
    <w:p w14:paraId="71A59022">
      <w:pPr>
        <w:widowControl/>
        <w:numPr>
          <w:ilvl w:val="0"/>
          <w:numId w:val="1"/>
        </w:numPr>
        <w:spacing w:after="0" w:line="560" w:lineRule="exact"/>
        <w:ind w:firstLine="0"/>
        <w:jc w:val="left"/>
        <w:outlineLvl w:val="0"/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  <w:t>交付物</w:t>
      </w:r>
      <w:bookmarkStart w:id="0" w:name="_GoBack"/>
      <w:bookmarkEnd w:id="0"/>
    </w:p>
    <w:p w14:paraId="6590818B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1.所有交付物均为季度巡检配套材料，考核标准清晰可落地。</w:t>
      </w:r>
    </w:p>
    <w:p w14:paraId="09D5A89A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2.每季度巡检完成后5个工作日内，向采购方提交正式季度巡检报告，报告需附每台设备的具体检查数据、运行状态说明、隐患整改建议、优化建议、巡检总结等，报告需加盖服务商公章、由对应运维工程师签字确认。</w:t>
      </w:r>
    </w:p>
    <w:p w14:paraId="0C6F6568">
      <w:pPr>
        <w:widowControl/>
        <w:spacing w:after="0" w:line="560" w:lineRule="exact"/>
        <w:ind w:firstLine="420"/>
        <w:jc w:val="left"/>
        <w:rPr>
          <w:rFonts w:hint="default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3.项目年度服务期满后，提交全年运维总结报告，作为项目最终验收的核心依据</w:t>
      </w:r>
    </w:p>
    <w:p w14:paraId="5F2E1D4B">
      <w:pPr>
        <w:widowControl/>
        <w:numPr>
          <w:ilvl w:val="0"/>
          <w:numId w:val="1"/>
        </w:numPr>
        <w:spacing w:after="0" w:line="560" w:lineRule="exact"/>
        <w:ind w:firstLine="0"/>
        <w:jc w:val="left"/>
        <w:outlineLvl w:val="0"/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b/>
          <w:kern w:val="0"/>
          <w:sz w:val="32"/>
          <w:szCs w:val="32"/>
          <w:lang w:val="en-US" w:eastAsia="zh-CN" w:bidi="ar-SA"/>
        </w:rPr>
        <w:t>报价要求</w:t>
      </w:r>
    </w:p>
    <w:p w14:paraId="590FF253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1.报价为服务期12个月的含税包干总价，包含本需求所列全部服务内容的人工、差旅、资料、管理等所有成本。</w:t>
      </w:r>
    </w:p>
    <w:p w14:paraId="1E8AEFC3">
      <w:pPr>
        <w:widowControl/>
        <w:spacing w:after="0" w:line="560" w:lineRule="exact"/>
        <w:ind w:firstLine="420"/>
        <w:jc w:val="left"/>
        <w:rPr>
          <w:rFonts w:hint="eastAsia" w:ascii="仿宋_GB2312" w:hAnsi="仿宋_GB2312" w:eastAsia="仿宋_GB2312"/>
          <w:kern w:val="0"/>
          <w:sz w:val="28"/>
          <w:szCs w:val="22"/>
          <w:lang w:eastAsia="zh-CN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 w:bidi="ar-SA"/>
        </w:rPr>
        <w:t>2.所有服务项均为正式有偿采购内容，报价应分项列明：季度巡检服务费、安全应急演练服务费，分项报价之和等于总价。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139331"/>
    <w:multiLevelType w:val="singleLevel"/>
    <w:tmpl w:val="AF13933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5F614E8"/>
    <w:multiLevelType w:val="singleLevel"/>
    <w:tmpl w:val="C5F614E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4228DF8"/>
    <w:multiLevelType w:val="singleLevel"/>
    <w:tmpl w:val="D4228DF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314F71"/>
    <w:rsid w:val="164D5B10"/>
    <w:rsid w:val="38B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1168</Words>
  <Characters>1223</Characters>
  <Lines>0</Lines>
  <Paragraphs>0</Paragraphs>
  <TotalTime>12</TotalTime>
  <ScaleCrop>false</ScaleCrop>
  <LinksUpToDate>false</LinksUpToDate>
  <CharactersWithSpaces>1223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2026-09-18T07:11:00Z</dcterms:created>
  <dc:creator>Administrator</dc:creator>
  <cp:lastModifiedBy>Administrator</cp:lastModifiedBy>
  <dcterms:modified xsi:type="dcterms:W3CDTF">2026-09-22T09:42:48Z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eyJoZGlkIjoiYTQyMmMwZGMxMGU1OTk5YTY4YTFjOGQ2MDgyZDA4NjQifQ==</vt:lpwstr>
  </property>
  <property fmtid="{D5CDD505-2E9C-101B-9397-08002B2CF9AE}" pid="4" name="ICV">
    <vt:lpwstr>0D133995BFB2430992B508A9A422F2D5_13</vt:lpwstr>
  </property>
</Properties>
</file>